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AC.1997.0017 vom 24. Oktober 1997</w:t>
      </w:r>
    </w:p>
    <w:p>
      <w:r>
        <w:t>VD Tribunal cantonal, 1997-10-24, FR</w:t>
      </w:r>
    </w:p>
    <w:p>
      <w:r>
        <w:rPr>
          <w:b/>
        </w:rPr>
        <w:t xml:space="preserve">Quelle: </w:t>
      </w:r>
      <w:r>
        <w:t>https://mcp.opencaselaw.ch/entscheid/vd_omni_AC.1997.0017</w:t>
      </w:r>
    </w:p>
    <w:p>
      <w:r>
        <w:t>FR: VD_OMNI AC.1997.0017 du 24 octobre 1997</w:t>
      </w:r>
    </w:p>
    <w:p>
      <w:r>
        <w:t>IT: VD_OMNI AC.1997.0017 del 24 ottobre 1997</w:t>
      </w:r>
    </w:p>
    <w:p>
      <w:pPr>
        <w:pStyle w:val="Heading2"/>
      </w:pPr>
      <w:r>
        <w:t>Regeste</w:t>
      </w:r>
    </w:p>
    <w:p>
      <w:r>
        <w:t>VANEY Yvar c/Essertines-sur-Yverdon | un cabaret est un établissement nocturne qui n'est pas non plus conforme à une zone village autorisant les activités en harmonie avec l'habitation. Aggravation de l'atteinte à la réglementation au sens de l'art. 80 al. 2 LATC.</w:t>
      </w:r>
    </w:p>
    <w:p>
      <w:pPr>
        <w:pStyle w:val="Heading2"/>
      </w:pPr>
      <w:r>
        <w:t>Erwägungen</w:t>
      </w:r>
    </w:p>
    <w:p>
      <w:r>
        <w:rPr>
          <w:b/>
        </w:rPr>
        <w:t>E. 1</w:t>
      </w:r>
    </w:p>
    <w:p>
      <w:r>
        <w:t>LATC), sous réserve des cas dans lesquels une autorisation spéciale cantonale est nécessaire. L'article 2 al. 2 du règlement d'application de la LPE du 8 novembre 1989, modifié le 23 décembre 1993, précise en effet que lorsqu'il y a lieu à autorisation spéciale au sens des articles 120 ss LATC, c'est le département désigné par l'annexe II RATC qui est compétent pour examiner la conformité de l'installation aux règles du droit fédéral de la protection de l'environnement (Anne-Christine Favre, Quelques questions soulevées par l'application de l'OPB, in RDAF 1992, p. 320). c) Lorsqu'un projet est soumis à une autorisation spéciale cantonale, comme en l'espèce (voir l'art. 52 de la loi du 11 décembre 1984 sur les auberges et les débits de boissons, ci-après: LADB, et l'art. 24 du règlement d'application de la LADB et l'annexe II au RATC), les questions relatives à l'application du droit fédéral de la protection de l'environnement sont ainsi du ressort du département désigné par l'annexe II au RATC, qui doit fixer notamment les conditions de situation, de construction, d'exploitation et les éventuelles mesures de surveillance, sans préjudice des dispositions relatives aux plans et aux règlements communaux d'affectation que la municipalité doit faire observer (art. 123 LATC). L'autorité communale reste compétente pour déterminer quel type d'activité est compatible avec la définition des différentes zones du plan d'affectation et pour fixer les conditions nécessaires à la limitation des nuisances secondaires qui ne font pas l'objet de la réglementation fédérale. La municipalité pourrait donc interdire une installation qui respecte toutes les conditions du droit fédéral de la protection de l'environnement, si cette installation ne correspond pas aux caractéristiques définies par la zone en question ou provoque des nuisances secondaires excessives (voir arrêt TA AC 96/167 du 28 février 1997, consid.2). 3.                     La municipalité et les opposants estiment qu'un cabaret n'est pas conforme à l'affectation de la zone village. a) Selon l'art. 3 du règlement communal, la zone village est définie comme il suit: "La zone du bourg et des hameaux, soit la zone village, recouvre le bourg d'Essertines et les hameaux d'Epautheyres et de Nonfoux. On y trouve des habitations, des exploitations agricoles, de l'artisanat, des commerces, des services et des équipements d'utilité publique. La Municipalité encourage le développement d'activités professionnelles dans cette zone, afin d'y créer l'animation propre à un village, tout en veillant à ce que ces activités soient en harmonie avec l'habitation." La zone village admet donc les activités professionnelles, mais celles-ci doivent toutefois être en harmonie avec l'habitation. b) Le recourant exploite un dancing depuis près de 30 ans dans le bâtiment en cause. La question se pose de savoir si cette activité est elle-même compatible avec l'affectation de la zone village. Selon la jurisprudence, l'exploitation d'une discothèque constitue une activité commerciale au sens large; à la différence cependant des activités de services traditionnelles, tels que les magasins d'alimentation, les salons de coiffure, les pharmacies ou les cabinets médicaux, l'exploitation de commerces destinés à des activités nocturnes peut entrer en conflit avec le voisinage; le Tribunal administratif a considéré qu'un piano-bar ou une discothèque étaient des établissements gênants pour le voisinage dans la mesure où leur activité s'exerçait à des heures tardives dans la nuit et qu'ils étaient par conséquent incompatibles avec une zone village à caractère mixte (voir arrêt TA AC 93/229 du 19 juillet 1994). En revanche, le Tribunal administratif a jugé que l'exploitation d'un bar à café sans alcool, avec une salle de jeux vidéos sur une surface de 100 m2 environ et avec des horaires d'exploitation jusqu'à 23h.00 ou 24h.00 les vendredis et samedis soirs était compatible avec la zone de protection du centre historique à Morges, qui est aussi une zone à caractère mixte (voir arrêt TA AC 7486 du 12 mars 1992). Le Tribunal administratif du canton de Berne a considéré qu'un casino projeté à proximité de la gare est conforme à une zone mixte dans laquelle les activités professionnelles sont admises pour autant qu'elles ne perturbent pas l'habitation; il ne s'agissait pas en l'occurrence d'une zone mixte typique, mais d'une zone située au centre d'une ville de grandeur moyenne, dans laquelle il convenait de définir plus largement les nuisances admissibles. L'activité du casino en elle-même n'engendrerait pas de nuisances immédiates, mais secondaires (provoquées par le comportement de la clientèle à la sortie de l'établissement), régies par le règlement communal. Le Tribunal administratif bernois a jugé qu'on est en droit d'attendre de la population d'un quartier situé au centre d'une ville qu'elle tolère également la nuit un certain niveau de bruit provenant notamment des clients d'un casino qui rentrent chez eux (voir arrêt du 8 avril 1997 du Tribunal administratif du canton de Berne in "Le droit de l'environnement dans la pratique", no 32, p. 321). c) En l'espèce, à Epautheyres, les habitants se plaignent des nuisances provoquées par l'exploitation du dancing, en raison des heures de fermeture tardives et du bruit provoqué par les clients quittant l'établissement. Il ressort des pièces du dossier qu'en 1990, une voisine avait entrepris des démarches auprès de la municipalité afin que des mesures soient prises pour limiter ces nuisances sonores. Dans la mesure où elle s'exerce jusqu'à des heures tardives dans la nuit, soit 4h.00 ou 5h.00 du matin, il y a lieu d'admettre que l'exploitation du dancing représente une activité qui est gênante pour les habitants voisins et qui ne peut pas être considérée comme étant en harmonie avec l'habitation. Le tribunal constate donc que le dancing est un établissement nocturne qui n'est pas conforme à l'affectation de la zone village selon l'art. 3 du règlement communal. 4.                     a) L'art. 80 LATC dispose que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Selon la jurisprudence, pour déterminer si des travaux de transformation ou d'agrandissement aggravent l'atteinte à la réglementation en vigueur, il faut rechercher le but que poursuit la norme transgressée (RDAF 1989, p. 315). b) En l'occurrence, le dancing n'est pas compatible avec la zone de village telle que définie à l'art.</w:t>
      </w:r>
    </w:p>
    <w:p>
      <w:r>
        <w:rPr>
          <w:b/>
        </w:rPr>
        <w:t>E. 3</w:t>
      </w:r>
    </w:p>
    <w:p>
      <w:r>
        <w:t>du règlement communal, entré en vigueur en 1992; il s'agit donc d'un bâtiment existant qui n'est pas conforme à l'affectation de la zone au sens de l'art. 80 al. 1 LATC. Selon le projet litigieux, le volume affecté à la discothèque serait diminué pour faire place au cabaret en prolongation duquel les chambres seraient aménagées, soit à la place de l'actuelle salle de sociétés. Bien que selon le projet, le volume affecté au dancing serait diminué, le cabaret et le dancing représenteraient ensemble un volume du bâtiment plus important que celui actuellement affecté au dancing. Une deuxième patente pour un deuxième établissement nocturne serait délivrée. L'aménagement d'un cabaret implique également des horaires d'ouvertures tardifs dans la nuit, soit jusqu'à 4h.00 avec possibilité de dérogation jusqu'à 5h.00 (correspondant aux mêmes horaires que ceux de la discothèque), susceptibles d'engendrer des nuisances provoquées par le comportement de la clientèle quittant l'établissement. Le but du règlement communal par sa définition de la zone village étant que les activités professionnelles y soient en harmonie avec l'habitation, le tribunal constate que l'activité d'un cabaret n'entre pas non plus dans la définition de l'art. 3 du règlement communal. La réalisation du cabaret aurait pour effet d'étendre l'affectation non-conforme à la zone du bâtiment en ce sens qu'un deuxième établissement nocturne, non conforme à la zone village, serait aménagé, ce qui entraînerait une augmentation de clientèle par rapport à la situation existante; l'atteinte à la réglementation communale serait ainsi aggravée au sens de l'art. 80 al. 2 LATC. Il convient toutefois de remarquer que dans la mesure où le recourant renoncerait à l'exploitation de la discothèque pour se limiter à celle d'un cabaret, l'atteinte à la réglementation communale ne serait pas aggravée; l'établissement public actuel serait en effet remplacé par un cabaret, dont les nuisances ne seraient en tous cas pas supérieures à celles provoquées par la discothèque. Dans ces conditions, l'exploitation du cabaret serait admissible. c) En conséquence, le refus du permis de construire le cabaret doit être confirmé en raison de sa non conformité à la zone de village telle que définie à l'art. 3 du règlement communal. Bien que le recours doive être rejeté pour ce motif, le tribunal examinera encore les autres griefs soulevés par les opposants pour le cas où le recourant présenterait une nouvelle demande de permis de construire modifiée dans le sens mentionné ci-dessus (consid. 3b in fine). 5.                     La municipalité et les opposants invoquent également les nuisances sonores que provoquerait l'exploitation d'un cabaret. a) Selon l'art. 11 al. 1 LPE, les pollutions atmosphériques, le bruit, les vibrations et les rayons sont limités par des mesures prises à la source (limitation des émissions); l'art. 11 al. 2 LPE précise qu'indépendamment des nuisances existantes, il importe, à titre préventif, de limiter les émissions dans la mesure que permettent l'état de la technique et les conditions d'exploitation et pour autant que cela soit économiquement supportable. Les émissions doivent ensuite être limitées plus sévèrement s'il apparaît ou que l'on peut présumer que les atteintes resteront nuisibles ou incommodantes, eu égard à la charge actuelle de l'environnement (art. 11 al. 3 LPE). La limitation des heures d'exploitation constitue une mesure de réduction des émissions (art. 12 let.c LPE; ATF 118 Ib 234, 590; 113 Ib 402); d'autres mesures relatives à la construction ou à l'équipement peuvent encore être exigées pour restreindre le bruit des installations (art. 12 let.d LPE). Les installations qui ne satisfont pas aux prescriptions de la loi et aux dispositions d'autres lois fédérales qui s'appliquent à la protection de l'environnement seront assainies (art. 16 al. 1 LPE). De nouvelles installations fixes ne peuvent être construites que si les immissions causées par le bruit de ces seules installations ne dépassent pas les valeurs de planification dans le voisinage; l'autorité qui délivre l'autorisation peut exiger un pronostic de bruit (art. 25 al. 1 LPE); l'art. 7 al. 1 OPB précise que les émissions de bruit d'une nouvelle installation fixe seront limitées conformément aux dispositions de l'autorité d'exécution dans la mesure où cela est réalisable sur le plan de la technique et de l'exploitation et économiquement supportable (let. a) et de telle façon que les immissions de bruit dues exclusivement à l'installation en cause ne dépassant pas les valeurs de planification (let. b). La limitation des émissions des nouvelles installations fixes est prescrite par l'autorité compétente, sur préavis du Service de lutte contre les nuisances, dans le cadre de la procédure de permis de construire, d'autorisation ou de concession, ainsi que dans le cadre des plans d'affectation dont les dispositions s'appliquent à un projet détaillé (art. 9 du règlement d'application de la LPE). Il en va de même pour la limitation des émissions sonores lors d'une modification d'une installation fixe (voir arrêt AC 93/065 du 20 avril 1995). b) En l'espèce, l'aménagement du cabaret est soumis à autorisation du département conformément à l'art. 52 al. 1 LADB, qui dispose notamment qu'aucune transformation ou aucun changement d'affectation servant à l'usage d'un établissement public ou analogue (salle à boire, salle à manger, restaurant, bar, local de danse, terrasse, chambres d'hôtes, etc.), ni aucun changement de catégorie de patente ne peuvent être entrepris sans avoir été préalablement autorisés par le département, qui entend la municipalité et le préfet, sauf dans les cas de peu d'importance, les dispositions de la LATC étant réservées. L'art. 24 RADB précise que la demande d'autorisation de créer un établissement public ou analogue doit être présentée préalablement à la demande de patente et qu'elle doit être accompagnée d'un dossier comprenant les plans et pièces requis pour la demande du permis de construire par le RATC. L'art. 62 al.1 LADB dispose en outre que les règlements communaux fixent les heures d'ouverture et de fermeture des établissements publics et analogues et règlent la question des permissions spéciales et la situation, après l'heure de police, des clients de passage dans les hôtels; ils peuvent instituer un régime spécial pour certaines catégories d'établissements. Le règlement de police de la Commune d'Essertines-sur-Yverdon approuvé par le Conseil d'Etat le 19 février 1986 prévoit à son art. 103 que les établissements publics ne peuvent être ouverts au public avant 6h00; ils doivent être fermés à 23h00 du dimanche au jeudi et à 24h00 le vendredi et le samedi, ainsi que la veille des jours fériés, sauf autorisation spéciale de la municipalité. L'art. 104 al. 1 de ce règlement de police prévoit encore que lorsque la municipalité autorise un titulaire de patente ou de permis spécial à laisser son établissement ouvert après l'heure de fermeture réglementaire, le tenancier doit payer les taxes de prolongation d'ouverture selon le tarif fixé par la municipalité; cette dernière peut refuser des permissions ou en limiter le nombre. Mais l'horaire d'exploitation constitue aussi une mesure de réduction des émissions, conformément à l'art. 12 let.c LPE; il se pose donc la question de savoir si les dispositions communales à ce sujet n'ont plus de portée propre par rapport au droit fédéral dès lors qu'il appartient au département concerné (art. 120 let.c LATC et annexe II au RATC), de fixer l'horaire d'exploitation conformément à l'art. 11 LPE et en tenant compte notamment des caractéristiques de l'établissement, de sa situation et de son environnement. L'aménagement du cabaret est soumis à autorisation spéciale au sens de l'art. 120 let.c LATC; c'est le Département de Justice, police et affaires militaires qui est compétent pour délivrer l'autorisation spéciale pour ce genre d'aménagement (annexe II RATC). Le Service de la police du commerce a délivré l'autorisation spéciale, dans laquelle était intégré le préavis positif du Service de lutte contre les nuisances, qui a fixé les exigences quant à l'isolation acoustique des bâtiments et quant à la limitation des niveaux sonores à l'intérieur de l'établissement; on peut encore se demander si ce préavis ne comporte pas une lacune en ce sens qu'il n'a pas fixé les horaires d'exploitation du moins, n'a pas vérifié si les normes communales sur ce point respectaient les prescriptions fédérales sur la protection de l'environnement; ce dernier point n'est toutefois pas déterminant en l'espèce, puisque le permis de construire doit être refusé pour un autre motif. 6.                     Les opposants ainsi que la municipalité se plaignent en outre des voitures qui se parqueraient en débordement du parking de la discothèque. a) Concernant l'équipement en places de stationnement, l'article 47 let.g LATC prévoit que les plans et les règlements d'affectation peuvent fixer les prescriptions relatives à la création de garages et de places de stationnement et à la perception de contributions compensatoires. Selon l'art. 79 al. 1 du règlement, les propriétaires doivent aménager à leurs frais et sur leur terrain des places de stationnement ou garages pour véhicules; les garages doivent s'implanter en principe en arrière des limites de constructions; le nombre des places ou garages sera en rapport avec l'importance et la destination des constructions sises sur la parcelle, conformément aux normes de l'Union des professionnels suisses de la route (USPR). Afin de déterminer si le nombre de places de parc à disposition des établissements est suffisant pour répondre aux besoins, on se réfère à la norme VSS 641 400, plus particulièrement à l'annexe à cette norme, qui précise que pour les établissements de divertissement, 1 case de stationnement est nécessaire pour 5 places assises en zone rurale et pour les restaurants, 1 case de stationnement est nécessaire pour 3 places assises en zone rurale. b) En l'espèce, le restaurant compte 65 places assises; le nombre de cases de stationnements minimum est donc de 21,6 places. Pour les 80 places du dancing, le nombre de cases minimum est de 16 et pour le cabaret, qui compterait 40 places assises, un minimum de 8 cases de stationnement serait nécessaire. Le nombre total de places de parc minimum qui doit être à disposition, en tenant compte de la possibilité que les 3 établissements aient des périodes d'exploitation qui se recoupent, s'élève donc à 45,6. Le recourant dispose d'un grand parking devant l'établissement qui compte plusieurs places de parc; celles-ci ne sont pas délimitées, mais, selon l'estimation de l'Office cantonal de la police du commerce, leur nombre s'élève à 60 au minimum. Le parking comprend donc suffisamment de places de parc que le minimum de 45,6 exigé et le projet ne peut ainsi pas être critiqué pour ce motif. 7.                     Il résulte des considérants qui précèdent que le recours doit être rejeté et la décision attaquée confirmée. Conformément à l'art. 55 LJPA, il y a lieu de mettre à la charge du recourant un émolument de justice arrêté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