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AC.1996.0249 vom 21. Februar 1997</w:t>
      </w:r>
    </w:p>
    <w:p>
      <w:r>
        <w:t>VD Tribunal cantonal, 1997-02-21, FR</w:t>
      </w:r>
    </w:p>
    <w:p>
      <w:r>
        <w:rPr>
          <w:b/>
        </w:rPr>
        <w:t xml:space="preserve">Quelle: </w:t>
      </w:r>
      <w:r>
        <w:t>https://mcp.opencaselaw.ch/entscheid/vd_omni_AC.1996.0249</w:t>
      </w:r>
    </w:p>
    <w:p>
      <w:r>
        <w:t>FR: VD_OMNI AC.1996.0249 du 21 février 1997</w:t>
      </w:r>
    </w:p>
    <w:p>
      <w:r>
        <w:t>IT: VD_OMNI AC.1996.0249 del 21 febbraio 1997</w:t>
      </w:r>
    </w:p>
    <w:p>
      <w:pPr>
        <w:pStyle w:val="Heading2"/>
      </w:pPr>
      <w:r>
        <w:t>Regeste</w:t>
      </w:r>
    </w:p>
    <w:p>
      <w:r>
        <w:t>SCHWAIGER Béatrice c/Municipalité de Le Vaud (Redard et Schaller) | Le TA n'est pas compétent pour connaître d'une demande de servitude de passage formulée dans le cadre d'une procédure de permis de construire.</w:t>
      </w:r>
    </w:p>
    <w:p>
      <w:pPr>
        <w:pStyle w:val="Heading2"/>
      </w:pPr>
      <w:r>
        <w:t>Erwägungen</w:t>
      </w:r>
    </w:p>
    <w:p>
      <w:r>
        <w:rPr>
          <w:b/>
        </w:rPr>
        <w:t>E. 38</w:t>
      </w:r>
    </w:p>
    <w:p>
      <w:r>
        <w:t>et 55 LJPA, il y a lieu de mettre à la charge de la recourante un émolument pour la constitution du dossier, les écritures consécutives au dépôt du recours et le présent arrêt.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