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AC.1996.0127 vom 26. Mai 1997</w:t>
      </w:r>
    </w:p>
    <w:p>
      <w:r>
        <w:t>VD Tribunal cantonal, 1997-05-26, FR</w:t>
      </w:r>
    </w:p>
    <w:p>
      <w:r>
        <w:rPr>
          <w:b/>
        </w:rPr>
        <w:t xml:space="preserve">Quelle: </w:t>
      </w:r>
      <w:r>
        <w:t>https://mcp.opencaselaw.ch/entscheid/vd_omni_AC.1996.0127</w:t>
      </w:r>
    </w:p>
    <w:p>
      <w:r>
        <w:t>FR: VD_OMNI AC.1996.0127 du 26 mai 1997</w:t>
      </w:r>
    </w:p>
    <w:p>
      <w:r>
        <w:t>IT: VD_OMNI AC.1996.0127 del 26 maggio 1997</w:t>
      </w:r>
    </w:p>
    <w:p>
      <w:pPr>
        <w:pStyle w:val="Heading2"/>
      </w:pPr>
      <w:r>
        <w:t>Regeste</w:t>
      </w:r>
    </w:p>
    <w:p>
      <w:r>
        <w:t>LOSEY René et Antoinette c/ SEPE/Prangins | La "zone de parc "du règlement de Prangins est une zone à bâtir au sens de la LAT. Elle fait donc partie du périmètre des égouts publics où le raccordement à l'égout est obligatoire sauf dérogation. Dérogation refusée à juste titre ici faute de raccordement "à brève échéance" (commune récalcitrante sur laquelle le SEPE fait pression pour qu'elle achève le collecteur). Inégalité de traitement pas établie.</w:t>
      </w:r>
    </w:p>
    <w:p>
      <w:pPr>
        <w:pStyle w:val="Heading2"/>
      </w:pPr>
      <w:r>
        <w:t>Erwägungen</w:t>
      </w:r>
    </w:p>
    <w:p>
      <w:r>
        <w:rPr>
          <w:b/>
        </w:rPr>
        <w:t>E. 17</w:t>
      </w:r>
    </w:p>
    <w:p>
      <w:r>
        <w:t>lit. b LEaux permet l'évacuation des eaux polluées par un procédé spécial (sans raccordement aux égouts) au sujet duquel le service cantonal doit être consulté. Le service cantonal lui-même expose dans sa réponse du 4 juillet 1996 que la décision contestée se fonde sur l'art. 120 lit. a LATC, qui concerne l'autorisation spéciale pour les constructions hors des zones à bâtir. Cela laisse supposer que pour ce service, si la parcelle litigieuse fait partie du "périmètre des égouts publics", c'est non pas en raison de son appartenance à la zone à bâtir (selon l'art. 11 al. 2 lit. a LEaux), mais parce qu'elle se trouverait dans une autre zone où le raccordement au réseau d'égout est néanmoins opportun et peut raisonnablement être envisagé (en vertu de l'art. 11 al. 2 lit. c LEaux). Il n'est cependant pas certain que ce point de vue soit fondé. Il convient tout d'abord d'examiner si l'on se trouve dans la zone à bâtir. La question doit être résolue en fonction des dispositions de la loi fédérale sur l'aménagement du territoire. En effet, c'est précisément à la suite de l'entrée en vigueur de cette loi et du régime qu'elle instaure pour les constructions hors des zones à bâtir qu'ont été supprimées, dans le droit fédéral de la protection des eaux, les dispositions qui régissaient précédemment de manière indépendante les constructions à l'extérieur du périmètre du plan directeur des égouts, c'est-à-dire, principalement à l'extérieur de la zone à bâtir (voir le texte initial de l'art. 20 de l'ancienne loi fédérale sur la protection des eaux du 8 octobre 1971, ROLF 1972 I p. 964, modifiée par la LAT, et les motifs de sa modification - ROLF 1979 II p. 1582 - in FF 1978 I p. 1037). En l'espèce, la parcelle litigieuse se trouve depuis 1992 en zone de parcs au sens de l'art. 3.5 du règlement communal. Celui-ci, après la modification approuvée par le Conseil d'Etat le 23 juin 1989, contient notamment les alinéas 1 à 3 suivants : "La zone de parcs (ZPA) s'étend à certaines grandes propriétés de la rive du lac et du delta de la Promenthouse. C'est une zone dont l'utilisation dépend notamment de la volonté : -      de tenir libres les bords du lac et du cours d'eau et de faciliter au public l'accès aux rives et le passage le long de celles-ci; -      de conserver les sites naturels et les terrains servant au délassement. Dans ces perspectives, les seuls constructions, installations et aménagements qui peuvent être autorisés sont : -      des agrandissements de constructions existantes ainsi que des constructions nouvelles affectées à l'habitation et à ses dépendances, représentant au total une surface au sol n'excédant pas celle des constructions existantes au 1er janvier 1989; -      des installations de jeux, de sports et de loisirs à ciel ouvert y compris les petits bâtiments de service nécessaires; -      des voies de circulation pour les véhicules et les piétons et des places de stationnement pour véhicules dont la capacité peut être fixée par la Municipalité. En plus, des réalisations mentionnées ci-dessus, la Municipalité peut également autoriser, dans cette zone, si aucun intérêt prépondérant ne s'y oppose : -      des constructions destinées au public et des équipements collectifs; -      des constructions, installations et aménagements qui sont en relation avec l'exploitation hôtelière et touristique dont les bâtiments représentent au plus une surface au sol correspondant au 1/10 de la superficie de la parcelle, non compris les terrains en nature de bois. (...)" Dans un arrêt récent concernant la zone verte du règlement de St-Prex ainsi que la zone de non-bâtir résultant d'un plan cantonal d'extension, le tribunal a jugé ce qui suit : "(...) la construction dans une zone de verdure ou dans une zone inconstructible ne nécessite pas forcément une autorisation pour constructions hors zone à bâtir au sens de l'art. 24 LAT. C'est ainsi que le Tribunal fédéral a jugé qu'un secteur du bord du lac de Neuchâtel à Yverdon, colloqué en zone d'espace libre de verdure et forêt, constituait une zone à bâtir au sens de l'art. 15 LAT puisque la réglementation communale y autorisait des constructions et installations sportives, soit des constructions qui ne concernent pas l'exploitation du sol et dont la destination ne nécessite pas leur installation en un lieu déterminé (ATF du 18 décembre 1985, A 326/84, Groupement des sociétés lacustres yverdonnoises et crts). De même, le Tribunal fédéral a jugé que la zone de verdure du droit genevois, où se trouve colloquée la promenade de St-Antoine à Genève, sert à aménager dans le milieu bâti de la verdure et des arbres (art. 3 al. 3 lit. e LAT) et constitue une des zones d'affectation excluant les constructions comme les cantons peuvent en prévoir (art. 18 al. 1 LAT), avec cette conséquence que les autorisations de construire doivent être délivrées en application des art.</w:t>
      </w:r>
    </w:p>
    <w:p>
      <w:r>
        <w:rPr>
          <w:b/>
        </w:rPr>
        <w:t>E. 22</w:t>
      </w:r>
    </w:p>
    <w:p>
      <w:r>
        <w:t>et 23 LAT et non pas de l'art. 24 LAT relatif aux exceptions prévues hors de la zone à bâtir (ATF 116 Ib 377). Tout récemment, le Tribunal administratif a statué sur la portée d'un plan riverain semblable au plan d'extension cantonal qui est en cause ici. Il a considéré que de tels plans, très largement antérieurs à l'adoption de la LAT, doivent être analysés soigneusement au regard de cette législation. Les espaces de non-bâtir qu'ils prévoient doivent s'insérer de manière cohérente dans les affectations résultant d'autres plans; ils peuvent ainsi s'inscrire notamment dans le prolongement de zones agricoles, auquel cas l'art. 24 LAT est clairement applicable, ou toucher des rives fortement urbanisées, ce qui entraîne précisément la conclusion inverse (AC 95/070 du 23 décembre 1996 concernant le plan correspondant de St-Sulpice)". Dans cet arrêt AC 96/158, le tribunal a jugé que les constructions autorisées (principalement des installations publiques ou sportives mais aussi des garages à bateau) ainsi que le large usage qui avait été fait de cette autorisation justifiaient de soustraire la parcelle au régime d'autorisation "hors zone". Il doit en aller de même en l'espèce où le règlement communal permet actuellement dans la zone de parc non seulement la construction d'installations sportives mais également des agrandissements de constructions existantes et des constructions nouvelles affectées à l'habitation. La zone de parc du règlement de Prangins doit donc être considérée comme une zone à bâtir au sens de la loi fédérale sur l'aménagement du territoire. Il en résulte qu'elle fait partie du périmètre des égouts publics en vertu de l'art. 11 al. 2 lit. a LEaux cité plus haut. 6.                     Appartenant au périmètre des égouts publics, la parcelle litigieuse est soumise à l'obligation générale de raccorder qu'instaurait déjà l'ancienne loi fédérale du 8 octobre 1971 et qu'a conservée l'actuel art. 11 LEaux (FF 1987 II p. 1136). Le permis de construire sollicité par les recourants ne peut donc être délivré que si le déversement des eaux polluées dans les égouts est garanti (art. 17 lit. a LEaux), à moins qu'une dérogation puisse être envisagée sur la base de l'art. 18 LEaux cité plus haut. Du point de vue de la procédure cantonale, le projet litigieux se trouvant en zone à bâtir, il n'est pas soumis à l'autorisation préalable de l'art. 120 lit. a LATC qui vise les constructions hors zone. On peut se demander s'il tombe sous le coup de l'art. 120 lit. d LATC concernant les projets soumis à autorisation selon le droit fédéral ou cantonal (l'art. 18 al. 1 in fine LEaux exige au moins que le service cantonal soit consulté lors de l'octroi d'un permis de construire impliquant une dérogation à l'obligation de raccordement) ou s'il entre dans une des catégories visées par l'art. 120 lit. c LATC en raison du contenu de l'annexe II au RATC. (cette annexe, sous la rubrique consacrée à l'évacuation des eaux usées, soumet à l'autorisation du Département des travaux publics, de l'aménagement et des transports aussi bien les "constructions dont les eaux usées sont raccordées à un collecteur communal sans station d'épuration" que les "installations d'épuration individuelles"). Peu importe car l'exigence d'une autorisation cantonale n'est pas contestée. Les recourants exposent qu'ils ont déjà versé un acompte sur la taxe de raccordement aux égouts qui sera perçue lorsque le quartier sera raccordé au réseau communal. Ils relèvent que l'adjonction d'une pièce de séjour à leur maison n'entraînera la création d'aucun poste sanitaire complémentaire et qu'elle n'impliquera aucune augmentation du nombre des habitants puisque leur famille sera toujours composée de quatre personnes. Ils font valoir que l'art. 17 LEaux, qu'il s'agisse d'appliquer la lettre a ou b, vise manifestement les constructions nouvelles ou les transformations ayant pour effet l'évacuation d'eaux usées ou l'augmentation du volume de ces eaux. En audience, ils ont attiré l'attention sur le fait qu'ils ont fait leur possible en dotant leur maison d'une fosse de décantation adaptée à sa dimension et ils ont souligné que l'interdiction de réaliser leur projet n'améliorera pas pour autant la nature des déversements existants. Il est vrai que le nombre d'habitants concerné - assez logiquement - ne devrait pas rester sans influence sur la décision de l'autorité relative à l'octroi ou au refus d'une dérogation au sens de l'art. 18 LEaux. Le nombre d'habitants intervient par exemple lorsqu'il s'agit d'autoriser les autorités cantonales à fixer des conditions de déversement moins strictes pour les eaux usées provenant de bâtiments isolés ayant peu d'habitants, s'il n'existe aucune possibilité de raccordement à une canalisation publique (art. 11 de l'ordonnance du 8 décembre 1975 sur le déversement des eaux usées, RS 814.225.21). L'ancienne loi fédérale sur la protection des eaux du 8 octobre 1971 contenait à l'art. 19, 2ème phrase, une régime dérogatoire analogue à l'actuel art. 18 LEaux. Sous l'empire de cette ancienne disposition, l'ordonnance générale sur la protection des eaux du 19 juin 1972 (OGPE), dans sa teneur modifiée le 6 novembre 1974 (ROLF 1974 II 1810), prévoyait en bref à son art. 26 qu'à défaut de raccordement à l'intérieur des zones à bâtir, un permis de construire ou de transformer ne pouvait être délivré qu'à condition que le débit présumé des eaux usées ne dépasse pas 12 équivalents-habitants, que le raccordement au réseau d'égout soit assuré dans l'espace de trois ans ou au plus tard jusqu'à sa mise en service, si la station centrale n'est pas entrée en activité dans ce délai, et qu'une installation individuelle d'épuration appropriée soit construite en tant que solution provisoire. Cette disposition a toutefois été abrogée lors de la modification du 27 octobre 1993 (ROLF 1993 IV p. 3022). On peut s'abstenir de déterminer si l'ancienne teneur de l'art. 26 OGPE, quant au nombre d'habitants, doit encore guider aujourd'hui l'interprétation de l'art. 18 LEaux relatif aux dérogations à l'obligation de raccordement. En effet, indépendamment de la question de l'importance de la charge polluante de l'immeuble litigieux, l'une des autres conditions de dérogation n'est pas remplie pour les motifs qui suivent. L'art. 18 LEaux subordonne l'octroi d'une dérogation à la condition que le raccordement soit possible à brève échéance. Cette condition-là n'est en tout cas pas remplie en l'espèce dès lors que d'après le dossier et les explications du représentant de la municipalité recueillies en audience, le projet de raccordement à la station d'épuration du quartier litigieux, qui date de 1992, n'a plus évolué depuis le refus du crédit nécessaire par le conseil communal en 1994. En outre, la commune a déclaré expressément dans la présente procédure que l'assainissement par liaison à la STEP des lieux-dits "Promenthoux", "L'Abbaye" et "Sans Façons" ne constituait plus désormais un investissement de première urgence. Cette circonstance exclut (même si l'on devait tenir pour déterminante la période de trois ans de l'ancien art. 26 OGPE) qu'on puisse en l'état considérer que le raccordement est possible à brève échéance au sens de l'art. 18 LEaux. Il n'est donc pas possible de déroger à l'obligation de raccordement. Le projet litigieux ne respectant pas l'obligation de raccorder, c'est à juste titre que le service intimé a refusé l'autorisation spéciale requise. Cette décision, dont il faut préciser qu'elle laisse toutefois subsister la situation existante, est la conséquence du fait que les conditions permettant l'octroi d'une dérogation à l'obligation de raccordement ne sont pas remplies. 7.                     Le grief d'inégalité de traitement n'est par ailleurs pas établi. Il n'est pas démontré que le service intimé ait rendu récemment une décision accordant une dérogation à l'obligation de raccordement en zone à bâtir. En particulier, les pièces produites après l'audience au sujet de la parcelle 597 concernent, comme le service intimé l'observe dans ses déterminations du 14 mai 19997, un cas de raccordement à une fosse à purin en zone agricole (art. 12 al. 4 LEaux) et non une installation individuelle d'épuration en zone à bâtir. 8.                     Le recours doit ainsi être rejeté et la décision attaquée maintenue. Déboutés, les recourants supporteront un émolument, qui sera toutefois réduit pour tenir compte de leur situation particulière entre l'autorité cantonale et l'autorité communale.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