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AC.1995.0256 vom 13. März 1998</w:t>
      </w:r>
    </w:p>
    <w:p>
      <w:r>
        <w:t>VD Tribunal cantonal, 1998-03-13, FR</w:t>
      </w:r>
    </w:p>
    <w:p>
      <w:r>
        <w:rPr>
          <w:b/>
        </w:rPr>
        <w:t xml:space="preserve">Quelle: </w:t>
      </w:r>
      <w:r>
        <w:t>https://mcp.opencaselaw.ch/entscheid/vd_omni_AC.1995.0256</w:t>
      </w:r>
    </w:p>
    <w:p>
      <w:r>
        <w:t>FR: VD_OMNI AC.1995.0256 du 13 mars 1998</w:t>
      </w:r>
    </w:p>
    <w:p>
      <w:r>
        <w:t>IT: VD_OMNI AC.1995.0256 del 13 marzo 1998</w:t>
      </w:r>
    </w:p>
    <w:p>
      <w:pPr>
        <w:pStyle w:val="Heading2"/>
      </w:pPr>
      <w:r>
        <w:t>Regeste</w:t>
      </w:r>
    </w:p>
    <w:p>
      <w:r>
        <w:t>BACHMANN Mario-André c/Le Vaud | Lorsqu'elle ne peut pas répondre facilement et de manière sûre aux questions préjudicielles de droit civil à résoudre, la municipalité doit refuser le permis de construire et renvoyer le constructeur à établir préalablement son droit.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LJPA, il y a lieu de mettre un émolument de justice à la charge de la partie déboutée. Lorsque la procédure met en présence, outre le recourant et l'autorité intimée, une ou plusieurs autres parties dont les intérêts sont opposés à ceux du recourant, c'est en principe à cette partie adverse déboutée, à l'exclusion de la collectivité publique dont la décision est annulée ou modifiée, de supporter les frais et dépens (RDAF 1994, p. 324). L'émolument sera en conséquence mis à la charge de M. Michel Roch.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