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AC.1995.0195 vom 25. Januar 1996</w:t>
      </w:r>
    </w:p>
    <w:p>
      <w:r>
        <w:t>VD Tribunal cantonal, 1996-01-25, FR</w:t>
      </w:r>
    </w:p>
    <w:p>
      <w:r>
        <w:rPr>
          <w:b/>
        </w:rPr>
        <w:t xml:space="preserve">Quelle: </w:t>
      </w:r>
      <w:r>
        <w:t>https://mcp.opencaselaw.ch/entscheid/vd_omni_AC.1995.0195</w:t>
      </w:r>
    </w:p>
    <w:p>
      <w:r>
        <w:t>FR: VD_OMNI AC.1995.0195 du 25 janvier 1996</w:t>
      </w:r>
    </w:p>
    <w:p>
      <w:r>
        <w:t>IT: VD_OMNI AC.1995.0195 del 25 gennaio 1996</w:t>
      </w:r>
    </w:p>
    <w:p>
      <w:pPr>
        <w:pStyle w:val="Heading2"/>
      </w:pPr>
      <w:r>
        <w:t>Regeste</w:t>
      </w:r>
    </w:p>
    <w:p>
      <w:r>
        <w:t>KOCHER Gilbert c/SAT/Lignerolle | Les critères permettant la transf. part. d'un bât. non conforme à la zone dans laquelle il se trouve ne sont pas applic. lorsqu'il s'agit de déterminer si l'implant. d'une constr. est imposée par sa destin. Celui qui effectue des trav. de transf. - dépassant ce qui est admis. au regard de l'art. 24 al. 2 - ne peut se prévaloir de l'emplac. du bât. exist.; en tous les cas, cet élément ne suffit pas à remplir la condition de l'impl. imposée par la dest. de l'ouvr. au sens de l'art. 24-1-a LAT.</w:t>
      </w:r>
    </w:p>
    <w:p>
      <w:pPr>
        <w:pStyle w:val="Heading2"/>
      </w:pPr>
      <w:r>
        <w:t>Erwägungen</w:t>
      </w:r>
    </w:p>
    <w:p>
      <w:r>
        <w:rPr>
          <w:b/>
        </w:rPr>
        <w:t>E. 24</w:t>
      </w:r>
    </w:p>
    <w:p>
      <w:r>
        <w:t>al. 2 LAT, mais, en même temps, un agrandissement de la surface bâtie existante (restaurant) à raison d'un tiers, n'a pas été jugé comme étant de minime importance (ATF 107 Ib 237 et ss, not. 241-242). Dans un arrêt postérieur, le Tribunal fédéral a donc estimé qu'il convenait de comparer, pour évaluer une transformation partielle, les surfaces utilisables et les volumes réels, les uns aux autres; il a ainsi dénié à un agrandissement représentant un tiers environ du bâtiment existant (maison de vacances), le qualificatif de minime importance (ATF 112 Ib 94, JT 1988 I 443). cc) L'art. 24 al. 2 LAT n'impose pas seulement une restriction quantitative, mais postule également que la transformation partielle soit compatible avec les exigences majeures de l'aménagement du territoire (cf, sur ce point, DFJP/OFAT, op. cit., note 18 ad art. 3). Parmi ces dernières, on retiendra la préservation du paysage par une intégration optimale des constructions, prises isolément ou dans leur ensemble (art. 3 al. 2 lit. b LAT). Il a été ainsi jugé qu'une construction ou une installation s'intègre au paysage si son implantation et ses dimensions n'affectent ni les caractéristiques, ni l'équilibre du site et si, par sa forme et les matériaux utilisés, elle en respecte l'originalité (arrêt AC 92/207 du 3 août 1994, cons. 4). dd) Faute de pouvoir admettre que l'on est en présence d'une rénovation, d'une transformation partielle - par là-même d'un agrandissement de moindre importance - ou d'une reconstruction, il faudra en revanche conclure qu'il s'agit d'une construction nouvelle au sens de l'art. 24 al. 1 LAT (ATF 107 Ib 237 et ss, not. 242; 108 Ib 359 et ss, not. 361). Les critères permettant la transformation partielle d'un bâtiment non conforme à la zone dans laquelle il se trouve ne seront, dans le cadre de cette dernière disposition, pas applicables; surtout, lorsque les travaux débordent du cadre défini à l'art. 24 al. 2, le constructeur ne peut pas justifier son projet par l'implantation de la construction existante à transformer, élément en tous les cas insuffisant à lui seul pour satisfaire à la condition de l'art. 24 al. 1 lit. b LAT. Or, sous cet angle, force est d'admettre que l'implantation d'un couvert de piscine - comme celle d'une piscine - en zone agricole n'est pas imposée par sa destination. L'autorité cantonale de recours dispose, en vertu de l'art. 33 al. 3 lit. b LAT, d'un libre pouvoir d'examen (ATF 112 Ib 175 consid. 5e). b) Lors de la vision locale, le tribunal a pu constater l'existence d'un lien physique et fonctionnel entre les bâtiments ECA nos 122 et 191. Tel est bien le cas d'un garage dont la partie supérieure est aménagée en piscine, par rapport à la maison d'habitation, les deux bâtiments communiquant, par surcroît, depuis quinze ans par le local de chaufferie semi-enterré. Le représentant du département, à l'audience, n'a pas véritablement contesté ce point, tout en soulignant que les plans mis à l'enquête conduisaient plutôt à la conclusion contraire. Le projet litigieux doit ainsi être apprécié par rapport à l'ensemble des bâtiments ECA no 122 et 191, ces derniers formant un tout cohérent. Le local à outils et la cabane à moutons seront en revanche exclues de ce cadre, le recourant n'ayant pas démontré que leur présence a été autorisée par l'autorité compétente. aa) Quoiqu'imposante à première vue - sa hauteur atteint presque 5 mètres au faîte, pour une emprise au sol de 45 mètres carrés - la superstructure massive répond encore à la définition précitée de transformation partielle. L'identité de l'ensemble n'est en aucun cas altérée par la présence de ce couvert en dur. Les modifications projetées - et réalisées dans leur quasi-totalité - n'ont pas pour conséquence d'aggraver l'atteinte à la vocation de la zone agricole, même si la construction d'un garage-piscine ne serait probablement plus autorisable sous l'empire de la législation actuelle. Au surplus, leur effet sur l'environnement (cf également infra, paragraphe cc) est négligeable. bb) Du point de vue quantitatif, il faut apprécier si, additionnées les unes aux autres, les transformations exécutées successivement au bâtiment, considéré alors comme un tout, groupant les nos ECA 122 et 191, apparaissent encore comme une transformation partielle. Or, se fondant sur l'avis de ses assesseurs spécialisés, le tribunal retient que les travaux réalisés sur ces bâtiments depuis 1981, y compris le présent projet, représentent au total clairement moins de 25 % de la surface et du volume bâtis. On peut, dans ces conditions, admettre qu'il s'agit d'un agrandissement modeste. cc) Bien qu'on ne saurait qualifier cette construction de discrète, son intégration au paysage est néanmoins appréciable. Située à l'arrière du bâtiment principal et entourée, à l'ouest et au nord, de sapins, cette superstructure, quoique dépassant légèrement le faîte de ce dernier, n'est visible que depuis les alentours immédiats de la propriété. Elle est en revanche invisible depuis la forêt en amont ou le village en aval, a fortiori depuis le vallon de l'Orbe en contrebas. Sa forme et les matériaux utilisés rappellent assez bien le bâtiment principal avec lequel elle forme un ensemble harmonieux. Le recourant observe à juste titre qu'elle améliore sensiblement l'aspect du bâtiment no ECA 191 qui, du reste, donne, sans ce couvert, l'impression d'être inachevé. dd) Force est ainsi d'admettre que les conditions permettant à l'autorité compétente d'autoriser le recourant à réaliser les transformations mises à l'enquête sont, en l'espèce, réalisées. Les décisions du DTPAT, du 7 juillet 1995, et de la municipalité, du 16 août 1995, ne peuvent être maintenues. 5.                     a) Les considérants qui précèdent conduisent le tribunal a admettre le recours. La cause sera par conséquent renvoyée au Département TPAT pour qu'il délivre l'autorisation spéciale requise par Gilbert Kocher, l'octroi du permis de construire par la municipalité demeurant, au surplus, reservé. b) L'attitude du recourant n'en doit pas moins être sanctionnée. Le tribunal rappelle que nul n'a le droit d'édifier la moindre construction sans y avoir au préalable été autorisé par l'autorité compétente (art. 103 LATC). Le recourant ne s'est pas préoccupé de la nécessité d'une autorisation cantonale pour réaliser son projet, ce qui est assez curieux de la part d'un professionnel de la construction. Par surcroît, les plans mis à l'enquête sont lacunaires et n'ont pas permis au DTPAT de se déterminer en connaissance de cause. Dans ces conditions, il se justifie, vu l'art. 55 al. 2 LJPA, d'une part, de mettre une partie des frais à sa charge et, d'autre part, de ne point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