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AC.1995.0067 vom 13. Juli 1995</w:t>
      </w:r>
    </w:p>
    <w:p>
      <w:r>
        <w:t>VD Tribunal cantonal, 1995-07-13, FR</w:t>
      </w:r>
    </w:p>
    <w:p>
      <w:r>
        <w:rPr>
          <w:b/>
        </w:rPr>
        <w:t xml:space="preserve">Quelle: </w:t>
      </w:r>
      <w:r>
        <w:t>https://mcp.opencaselaw.ch/entscheid/vd_omni_AC.1995.0067</w:t>
      </w:r>
    </w:p>
    <w:p>
      <w:r>
        <w:t>FR: VD_OMNI AC.1995.0067 du 13 juillet 1995</w:t>
      </w:r>
    </w:p>
    <w:p>
      <w:r>
        <w:t>IT: VD_OMNI AC.1995.0067 del 13 luglio 1995</w:t>
      </w:r>
    </w:p>
    <w:p>
      <w:pPr>
        <w:pStyle w:val="Heading2"/>
      </w:pPr>
      <w:r>
        <w:t>Regeste</w:t>
      </w:r>
    </w:p>
    <w:p>
      <w:r>
        <w:t>OERLIKON-BUHRLE IMMOBILIER SA c/ Glan | N'est pas de bonne foi le constructeur dont l'architecte a fautivement fait remplacer des tuiles réglementaires par d'autres qui ne le sont pas. Un ordre de remise en état, qui ne cause au propriétaire qu'un dommage réduit (1,2 % du devis total) n'est pas disproportionné.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février 1995 et les références citées).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