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AC.1994.0156 vom 20. Januar 1998</w:t>
      </w:r>
    </w:p>
    <w:p>
      <w:r>
        <w:t>VD Tribunal cantonal, 1998-01-20, FR</w:t>
      </w:r>
    </w:p>
    <w:p>
      <w:r>
        <w:rPr>
          <w:b/>
        </w:rPr>
        <w:t xml:space="preserve">Quelle: </w:t>
      </w:r>
      <w:r>
        <w:t>https://mcp.opencaselaw.ch/entscheid/vd_omni_AC.1994.0156</w:t>
      </w:r>
    </w:p>
    <w:p>
      <w:r>
        <w:t>FR: VD_OMNI AC.1994.0156 du 20 janvier 1998</w:t>
      </w:r>
    </w:p>
    <w:p>
      <w:r>
        <w:t>IT: VD_OMNI AC.1994.0156 del 20 gennaio 1998</w:t>
      </w:r>
    </w:p>
    <w:p>
      <w:pPr>
        <w:pStyle w:val="Heading2"/>
      </w:pPr>
      <w:r>
        <w:t>Regeste</w:t>
      </w:r>
    </w:p>
    <w:p>
      <w:r>
        <w:t>COMMUNE D'YVERDON-LES-BAINS c/DTPAT | Lorsqu'une divergence importante apparaît entre une commune et le Service de l'aménagement du territoire sur une question d'urbanisme, l'autorité de recours doit en principe requérir l'avis de la commission cantonale consultative d'urbanisme et d'architec ture.</w:t>
      </w:r>
    </w:p>
    <w:p>
      <w:pPr>
        <w:pStyle w:val="Heading2"/>
      </w:pPr>
      <w:r>
        <w:t>Erwägungen</w:t>
      </w:r>
    </w:p>
    <w:p>
      <w:r>
        <w:rPr>
          <w:b/>
        </w:rPr>
        <w:t>E. 43</w:t>
      </w:r>
    </w:p>
    <w:p>
      <w:r>
        <w:t>al. 1 et 47 lit. a LATC). Elles peuvent notamment définir les coefficients d'occupation et d'utilisation du sol, les distances aux limites ou entre bâtiments, l'implantation, les dimensions et la forme des bâtiments et des toitures ainsi que la destination des différents niveaux des bâtiments. En annulant la décision communale adoptant les prescriptions de la "zone polyvalente" sur le périmètre qui était défini lors de la première enquête par la "zone d'activités D", le département a touché à un domaine qui fait partie du champ de protection de l'autonomie communale en droit vaudois. La commune recourante peut donc se plaindre que l'arrêt attaqué viole son autonomie par une fausse application du droit ou par un abus du pouvoir d'examen exercé par cette autorité. 3.                     a) En statuant sur la requête de Jean Tumbarello, le département jouit du libre pouvoir d'examen requis par l'art. 33 al. 3 lit. b de la loi fédérale sur l'aménagement du territoire (LAT). Ce libre pouvoir d'examen ne signifie cependant pas que l'autorité de recours, qui est en même temps l'autorité d'approbation du plan, doit se transformer en autorité d'aménagement. En particulier, elle ne peut substituer sa propre appréciation à celle de l'autorité de planification. Mais elle ne doit pas seulement examiner si l'autorité qui a établi le plan a excédé son pouvoir d'appréciation ou en a abusé, commettant ainsi une violation du droit. Elle doit encore contrôler si ce pouvoir d'appréciation a été utilisé de façon correcte et objective. L'autorité revêtue du pouvoir de libre examen doit ainsi intervenir lorsque le plan attaqué se révèle inadapté et inopportun (ATF 109 Ib 124-125 consid. 5c). Elle doit peser tous les intérêts en présence et non seulement ceux que mentionne la loi sur l'aménagement du territoire. Il y a lieu de tenir compte de tous les intérêts publics ou privés, qui résultent de la situation concrète ou du droit en vigueur (ATF 114 Ia 374 consid. 5b; 113 Ib 230 consid. 2c). b) La requête de Jean Tumbarello concernait la décision du conseil communal du 7 mai 1992 admettant les oppositions formées contre la "zone d'activités D" et remplaçant cette zone par les règles de la "zone polyvalente". L'autorité intimée n'a cependant interpellé dans la procédure de requête aucun des opposants à la "zone d'activités D" et elle n'a pas pu prendre en considération l'un des éléments importants de la pesée des intérêts, à savoir l'intérêt des propriétaires privés directement touchés par la planification. En agissant de la sorte, l'autorité de recours a statué sans confronter les intérêts qui militent en faveur d'une restriction des possibilités de construire aux intérêts des propriétaires directement touchés par la mesure de planification. Elle s'est de plus limitée à reprendre l'argumentation développée par le Service de l'aménagement du territoire dans le cadre de la procédure, sans faire appel à la Commission cantonale consultative d'urbanisme et d'architecture, qui a précisément pour fonction de se prononcer en cas de divergence importante entre le Service de l'aménagement du territoire et la municipalité des communes concernées (voir art. 16 et 56 al. 4 LATC). L'autorité intimée n'a ainsi pas été en mesure de procéder à une pesée complète de tous les intérêts en présence notamment en ne respectant pas le droit d'être entendu des propriétaires qui s'étaient opposés à la "zone d'activités D". Par ailleurs, le pouvoir d'examen du tribunal étant limité au contrôle de la légalité de la décision, il ne peut réparer dans la procédure de recours les lacunes constatées. 4.                     Il résulte des considérants qui précèdent que le recours doit être admis et la décision attaquée annulée, le dossier étant renvoyé au département afin qu'il complète l'instruction de la requête, notamment en invitant les propriétaires concernés qui se sont opposés à la "zone d'activité D" à participer à la procédure et en requérant l'avis de la Commission cantonale consultative d'urbanisme et d'architecture en raison de la divergence qui existe entre l'autorité communale et le Service de l'aménagement du territoire. Cette dernière mesure pouvant d'ailleurs aussi être décidée en cas de retrait de la requête. La commune, qui obtient gain de cause et qui a consulté un homme de loi, a droit aux dépens qu'elle a requis, arrêtés à 1'000 fr.; les frais de justice étant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