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AC.1994.0069 vom 27. Mai 1994</w:t>
      </w:r>
    </w:p>
    <w:p>
      <w:r>
        <w:t>VD Tribunal cantonal, 1994-05-27, FR</w:t>
      </w:r>
    </w:p>
    <w:p>
      <w:r>
        <w:rPr>
          <w:b/>
        </w:rPr>
        <w:t xml:space="preserve">Quelle: </w:t>
      </w:r>
      <w:r>
        <w:t>https://mcp.opencaselaw.ch/entscheid/vd_omni_AC.1994.0069</w:t>
      </w:r>
    </w:p>
    <w:p>
      <w:r>
        <w:t>FR: VD_OMNI AC.1994.0069 du 27 mai 1994</w:t>
      </w:r>
    </w:p>
    <w:p>
      <w:r>
        <w:t>IT: VD_OMNI AC.1994.0069 del 27 maggio 1994</w:t>
      </w:r>
    </w:p>
    <w:p>
      <w:pPr>
        <w:pStyle w:val="Heading2"/>
      </w:pPr>
      <w:r>
        <w:t>Regeste</w:t>
      </w:r>
    </w:p>
    <w:p>
      <w:r>
        <w:t>MARTINET et crts c/St-Légier | Constr.d'un bât.scolaire en ZUP;pas de degrés de sensib.aubruit à fixer;ZUP définie avec suff.de préc.intérêt public de la constr.reconnue;plan des amén.ext.incomplet;vice corrigé à l'audience;dérogations admissibles.</w:t>
      </w:r>
    </w:p>
    <w:p>
      <w:pPr>
        <w:pStyle w:val="Heading2"/>
      </w:pPr>
      <w:r>
        <w:t>Erwägungen</w:t>
      </w:r>
    </w:p>
    <w:p>
      <w:r>
        <w:rPr>
          <w:b/>
        </w:rPr>
        <w:t>E. 19</w:t>
      </w:r>
    </w:p>
    <w:p>
      <w:r>
        <w:t>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En l'espèce, la Commune de Saint-Légier-La Chiésaz est au bénéfice d'une servitude publique de passage à char inscrite le 17 novembre 1900, dont l'assiette correspond au chemin du Bosquet. Conformément à la jurisprudence du Tribunal fédéral, un droit de passage à pied et à char constitué avant l'utilisation courante des automobiles, ce qui est le cas en l'espèce, donne aujourd'hui le droit de passer avec un véhicule à moteur pour satisfaire les besoins pour lesquels la servitude a été constituée (ATF 64 II 411, JT 1939 I 337; Paul Piotet, Traité de droit privé suisse, Tome V,3, Les droits réels limités en général, les servitudes et les charges foncières, p. 67 et les références citées). Une aggravation de la servitude étant superflue, on doit ainsi admettre que la Commune de Saint-Légier-La-Chiésaz est au bénéfice d'un titre juridique suffisant lui permettant d'accéder à son fonds au moyen de véhicules empruntant le chemin du Bosquet. Quant au caractère suffisant ou non de l'accès, la jurisprudence admet comme suffisante une voie d'accès qui présente des conditions de commodité et de sécurité (pente, visibilité, trafic) tenant compte des besoins de la construction projetée, et cela même si, en raison de l'accroissement prévisible du trafic, la circulation devient moins aisée et exige des usagers une prudence accrue (voir Droit vaudois de la construction, Payot Lausanne, 1987, note 1.1.2 ad art. 49 LATC). Ont ainsi été considérés comme insuffisantes : une voie d'accès d'une largeur de 3 mètres, sur une longueur de 300 mètres, destinée à desservir un bâtiment de dix-huit logements avec dix-huit garages et places de parc (prononcé no 3431, 21 juin 1978, P. Guilloud-Perret et crt c/Ollon, RDAF 1980, 361); une voie de desserte d'une largeur variant entre 2,70 et 2,80 mètres sur 190 mètres, escarpée et légèrement en dévers dans un coteau très raide, ne permettant pas le croisement des véhicules automobiles, cela alors même que le chemin de raccordement du bien-fonds à la voie publique était lui-même jugé suffisant (prononcé no 6877, du 18 avril 1991, J. Alvarez c/Saint-Légier-La Chiésaz). Dans le cas particulier, le chemin du Bosquet est un chemin de raccordement à la route des Areneys qui est censé desservir les sept places de parc et l'organisme de protection civile. La portion du chemin qu'emprunteraient les utilisateurs potentiels de ces installations est longue de huitante mètres environ sur une largeur mesurée en plan de trois mètres environ. Si la largeur du chemin est effectivement réduite et ne permet pas le croisement des véhicules, le conducteur jouit en revanche d'une bonne visibilité qui exclut tout risque d'accident. Enfin, on ne doit pas s'attendre à des mouvements fréquents dès lors que l'usage des places de parc sera strictement réservé aux enseignants. L'augmentation du trafic nocturne lors des manifestations peut également être exclue pour les raisons déjà évoquées plus haut. Le moyen tiré de la prétendue insuffisance d'accès doit en conséquence être rejeté. 10.                          Les recourants invoquent enfin une violation de l'art. 85 lit. d RPE dans la mesure où le chemin d'accès bétonné pour les handicapés ne figurait pas dans le plan de situation soumis à l'enquête publique, mais a été ajouté après coup. Ils soutiennent également que cet aménagement ne peut, de par son ampleur, prendre place dans les espaces dits "réglementaires". L'exigence d'un plan des aménagements extérieurs, posée aux art. 69 al. 1 ch. 8 RATC et 85 lit. d RPE, se justifie afin de permettre aux intéressés de se faire une idée complète du projet (prononcé no 7072, 25 novembre 1991, Peguiron c/Jouxtens-Mézery et les références citées). Aussi, le Tribunal fédéral attache-t-il une importance particulière à la mise à l'enquête publique de tous les plans; il a jugé que l'absence d'un plan des aménagements extérieurs constituait une violation du droit d'être entendu (ATF du 5 août 1987, Carrard c/CCR VD). Dans le cas particulier, le dossier d'enquête comportait d'emblée un plan de situation figurant l'arborisation, les accès, les places de parc et le tracé des canalisations prévues autour de la construction, à l'exception du chemin d'accès au bâtiment scolaire pour les handicapés. A l'audience, la municipalité a précisé qu'il s'agissait d'un oubli de sa part qui devait être réparé pour permettre l'accès des handicapés aux salles de classe sises à l'étage. Elle a dès lors présenté des plans modifiés figurant l'accès litigieux et précisé que ce chemin serait exclusivement réservé aux handicapés sans qu'il y ait lieu de craindre une utilisation abusive par des élèves circulant en cyclomoteurs. Les recourants ont pu exprimer leurs observations sur ce point à l'audience. La présente procédure de recours leur a ainsi permis d'être entendus et de faire valoir tous les moyens utiles à leur cause (prononcés nos 6297, 19 décembre 1989, F. Luscher et crts c/Pully; 6975, 21 juin 1991, Brunschwig c/Saint-Légier-La Chiésaz). Dans ces conditions, ce serait faire preuve d'un formalisme excessif que d'exiger l'ouverture d'une enquête publique complémentaire et d'admettre le recours pour ce motif (voir en ce sens prononcé no 6990, Rovero c/Signy-Avenex, du 30 juillet 1991). Enfin, de jurisprudence constante, il est admis que les voies d'accès échappent à l'application des règles sur les distances à ménager entre bâtiments et limites de propriété, dans la mesure où elles constituent un équipement de la construction et que leur implantation n'est pas soumise à d'autres restrictions que celles de l'exigence d'un titre juridique, lorsqu'elles empruntent la propriété d'autrui (art. 104 al. 3 in fine LATC), et de leur adéquation à l'usage pour lequel elles ont été prévues (art. 19 al. 1 LAT); ces aménagements peuvent donc en principe prendre place dans les espaces dits "réglementaires" (voir ainsi prononcés nos 6866, 27 mars 1991, G. Cailler c/Crans-près-Céligny; 7079, 23 décembre 1991, Destraz c/Essertes). En l'espèce, l'assiette du chemin d'accès pour les handicapés se trouve entièrement sur le fonds de la constructrice. Son adéquation à l'usage pour lequel il est prévu doit également être admise dès lors que le chemin sera strictement réservé à l'usage des handicapés. Le risque d'utilisation accessoire parasite par des cyclomoteurs doit être exclu pour les motifs déjà évoqués plus haut (cf supra consid. 2). Les recourants n'invoquent au surplus aucun argument de nature à modifier cette jurisprudence. Aussi, le moyen doit également être écarté. 11.                          Les considérants qui précèdent conduisent au rejet du recours. Selon l'art. 55 al. 1 LJPA, les frais et dépens doivent en principe être supportés par la partie qui succombe. Bien que, sans y être contrainte, la municipalité ait abaissé le faîte du bâtiment en cours d'exécution, les recourants succombent dans l'essentiel de leurs conclusions. Il n'y a dès lors pas lieu de réduire l'émolument de justice qui doit être mis à leur charge en application de cette disposition. La municipalité, qui obtient gain de cause avec l'assistance d'un avocat, 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