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AC.1993.0229 vom 19. Juli 1994</w:t>
      </w:r>
    </w:p>
    <w:p>
      <w:r>
        <w:t>VD Tribunal cantonal, 1994-07-19, FR</w:t>
      </w:r>
    </w:p>
    <w:p>
      <w:r>
        <w:rPr>
          <w:b/>
        </w:rPr>
        <w:t xml:space="preserve">Quelle: </w:t>
      </w:r>
      <w:r>
        <w:t>https://mcp.opencaselaw.ch/entscheid/vd_omni_AC.1993.0229</w:t>
      </w:r>
    </w:p>
    <w:p>
      <w:r>
        <w:t>FR: VD_OMNI AC.1993.0229 du 19 juillet 1994</w:t>
      </w:r>
    </w:p>
    <w:p>
      <w:r>
        <w:t>IT: VD_OMNI AC.1993.0229 del 19 luglio 1994</w:t>
      </w:r>
    </w:p>
    <w:p>
      <w:pPr>
        <w:pStyle w:val="Heading2"/>
      </w:pPr>
      <w:r>
        <w:t>Regeste</w:t>
      </w:r>
    </w:p>
    <w:p>
      <w:r>
        <w:t>SAVOCA Franceso c/Coppet | Les bruits de comportement de la clientèle à la sortie d'un dancing ne sont pas soumis au droit fédéral de la protection de l'environnement mais relèvent du droit cantonal et communal.</w:t>
      </w:r>
    </w:p>
    <w:p>
      <w:pPr>
        <w:pStyle w:val="Heading2"/>
      </w:pPr>
      <w:r>
        <w:t>Erwägungen</w:t>
      </w:r>
    </w:p>
    <w:p>
      <w:r>
        <w:rPr>
          <w:b/>
        </w:rPr>
        <w:t>E. 7</w:t>
      </w:r>
    </w:p>
    <w:p>
      <w:r>
        <w:t>octobre 1983 (LPE), le 1er janvier 1985, et de l'ordonnance sur la protection contre le bruit du 15 décembre 1986 (OPB), le 1er avril 1987, la protection des personnes contre les atteintes nuisibles ou incommodantes - notamment contre le bruit - est réglée par le droit fédéral. Les règles de droit cantonal ou communal destinées uniquement à limiter quantativement les nuisances n'ont plus de portée propre par rapport à celles du droit fédéral (art. 65 LPE; 118 Ib 595 consid. 3a; 116 Ib 179 consid. 1b/bb; 115 Ib 460 consid. 1c; 114 Ib 222 consid. 5) sauf si elles complètent le droit fédéral en visant à définir ou à préciser les caractéristiques d'un quartier ou d'une zone (ATF 118 Ia 114 consid. 1a; 117 Ib 154 consid. 5a), ou si elles ont pour but de limiter des nuisances secondaires ne faisant pas l'objet de la réglementation fédérale, comme les difficultés de parcage ou le danger accru pour les piétons (ATF 114 Ib 222 consid. 5), la crainte d'une augmentation des délits autour d'un centre pour les drogués (ATF 118 Ia 114 consid. 1a), ainsi que les bruits de conversations nocturnes des clients à la sortie d'un dancing ou d'un autre établissement public et ceux des manoeuvres de leurs véhicules à l'extérieur de l'établissement, près d'une zone d'habitation (116 Ia 491 ss consid. 1a; AGVE 1992, 357 ss). Dans le cas particulier, ce sont essentiellement les nuisances secondaires résultant des allées et venues de clients à la recherche d'une place de parc et du bruit de leurs conversations à la sortie de l'établissement que redoute la municipalité. De tels désagréments, qui se manifestent hors de l'aire d'exploitation de l'établissement litigieux, ne font pas l'objet d'une réglementation par le droit fédéral de la protection de l'environnement et ils sont donc soumis au droit cantonal et communal (ATF 118 Ib 590 et ss, consid. 2d; ATF 116 Ib 183, consid. 3b; AGVE 1992, 359). c) Selon la municipalité, la présence d'un établissement nocturne ouvert jusqu'à 2 heures du matin, comme le souhaite le recourant, est incompatible avec la vocation de la zone, composée essentiellement d'habitations. La zone de l'ancienne ville a un caractère mixte. Les activités commerciales y sont admises aussi bien que l'habitation, pour autant qu'elles ne soient pas gênantes pour le voisinage. Or, l'activité projetée par le recourant, qu'il s'agisse d'un dancing ou d'un cabaret-bar, est gênante pour les quartiers d'habitations dans la mesure où elle s'exerce jusqu'à des heures tardives dans la nuit. Pour l'un et l'autre de ces types d'établissements, il faut s'attendre dans une proportion plus ou moins grande à des inconvénients tels que des bruits du comportement de la clientèle et des problèmes de parcage à des heures où le repos nocturne des habitants prime. La pénurie en places de stationnement aggrave ces inconvénients car l'établissement projeté fait appel à une clientèle de l'extérieur. L'argument selon lequel le problème du parcage pourrait être résolu par l'octroi d'une dispense d'aménager des places de stationnement privées, moyennant le versement d'une contribution compensatoire pouvant être exigé selon l'art. 81 RPC, n'est d'aucun secours à cet égard. La municipalité n'a par conséquent pas abusé de son pouvoir d'appréciation en refusant l'autorisation sollicitée sur la base de l'art. 4 RPC. d) A l'audience, la municipalité a déclaré ne pas être opposée à l'aménagement d'un cabaret-bar, exploités dans les heures prévues par le règlement de police. Selon l'art. 110 du règlement de police de la Commune de Coppet du 16 mai 1967 (RP), les établissements publics pourvus de patente doivent être fermés à 23 heures la semaine et à 24 heures le samedi, sauf autorisation spéciale de la municipalité. On peut admettre qu'un cabaret-bar, voire même un dancing, seraient compatibles avec la zone de la vieille ville, s'ils étaient exploités dans le respect de l'horaire prévu par l'art. 110 RP. Le recourant a cependant clairement précisé que l'horaire d'ouverture requis jusqu'à 2 heures du matin faisait partie intégrante de son projet, qui n'était pas réalisable à d'autres conditions. Mais le recourant n'a pas un droit à une autorisation spéciale prolongeant les heures d'exploitation. La protection des habitations constitue un intérêt majeur qui permet à la municipalité de refuser, dans une telle zone, une dérogation aux horaires d'ouverture fixés par le règlement de police. Le projet pouvait donc également être refusé pour ce motif. 4.                             Les nuisances résultant du bruit produit à l'intérieur de l'établissement, en particulier les bruits de musique se transmettant à l'extérieur par les ouvertures, ou dans les propriétés contiguës par les structures, ont également été invoquées. Ces questions tombent dans le champ d'application de la législation fédérale sur la protection de l'environnement car il s'agit de nuisances dues à l'installation en cause et non pas au comportement de la clientèle sur le domaine public, hors de l'installation (art. 7 al. 1 et 7 LPE; AGVE 1992, 359, consid. 1d; TA, arrêt AC 93/065 du 20 avril 1994, consid. 5). La loi fédérale sur la protection de l'environnement prévoit tout d'abord que la limitation des émissions de bruit doit être réalisée de manière préventive, indépendamment des nuisances existantes, dans toute la mesure que permet l'état de la technique et les conditions d'exploitation, pour autant que les mesures envisagées soient économiquement supportables (art. 11 al. 2 LPE). Dans un second temps, les émissions doivent être limitées plus sévèrement s'il apparaît ou que l'on peut présumer que les atteintes resteront nuisibles ou incommodantes, eu égard à la charge actuelle de l'environnement (art. 11 al. 3 LPE). La limitation des heures d'exploitation constitue une mesure de réduction des émissions (art. 12 lit. c LPE; ATF 118 Ib 234, 590; 113 Ib 402); d'autres mesures relatives à la construction ou à l'équipement peuvent encore être exigées pour restreindre le bruit des installations (art. 12 lit. d LPE). Dans le cadre des travaux de transformation projetés, une isolation accrue des locaux a été ordonnée par le Service de lutte contre les nuisances, conformément aux exigences de la norme SIA 181 de l'Association suisse des ingénieurs et architectes, à laquelle renvoie l'art. 32 al. 1 et 3 OPB. Selon cette autorité, compte tenu de l'épaisseur des murs et de la dalle séparant le rez-de-chaussée du premier étage, les locaux pourraient être isolés de manière suffisante, même avec l'exploitation d'une discothèque. Le problème du bruit produit à l'intérieur de l'établissement pourrait donc a priori être résolu de manière satisfaisante. On peut cependant se dispenser d'examiner plus à fond cette question dans la mesure où le projet doit de toute manière être refusé. 5.                             Reste à examiner si le recourant, qui a d'emblée précisé l'horaire dans lequel il comptait exploiter son établissement, peut se prévaloir d'une assurance de la municipalité de lui octroyer le permis de construire. Découlant directement de l'art. 4 Cst. et valant pour l'ensemble de l'activité étatique (ATF 107 Ia 211 consid. 3a), le principe de la bonne foi donne au citoyen le droit d'être protégé dans la confiance légitime qu'il met dans les assurances reçues des autorités (ATF 108 Ib 385 consid. b, 105 Ib 159 consid. b, 103 Ia 508). Il le protège lorsqu'il a réglé sa conduite d'après des décisions, des déclarations ou un comportement déterminé de l'administration. Entre autres conditions - cumulatives - auxquelles la jurisprudence subordonne le recours à cette protection ( ATF 109 V 55 consid. 3a), il faut que l'administré ait eu de sérieuses raisons de croire à la validité des assurances et du comportement dont il se prévaut et qu'il ait pris sur cette base des dispositions qu'il ne pourrait modifier sans subir un préjudice ( ATF 104 Ib 237 consid. 4, 103 Ia 114, 508 et les arrêts cités). Lorsque ces conditions sont réunies, le principe de la bonne foi l'emporte sur celui de la légalité (ATF 117 Ia 297, 112 Ia 335 consid. cc, 107 V 160 consid. 2). Dans le cas particulier, la municipalité n'a à aucun moment donné au recourant l'assurance qu'il pourrait exploiter son établissement jusqu'à 2 heures du matin. Au contraire, dans son préavis du 15 septembre 1992, elle a expressément réservé l'horaire à fixer. Une telle décision n'est pas contradictoire dans la mesure où, on l'a vu, l'un ou l'autre des établissements envisagés par le recourant pourrait être jugé conforme avec l'affectation de la zone, pour autant qu'il soit exploité dans les heures normales. Ce préavis municipal, rendu avant l'enquête publique, n'a de plus aucun effet contraignant à l'égard des tiers auxquels il n'est pas opposable (ATF 117 Ia 285 et ss). Par conséquent, aucune des conditions précitées n'est réunie et le recourant ne saurait se prévaloir de l'application du principe de la bonne foi. 6.                             Les considérants qui précèdent conduisent au rejet du recours. Conformément à l'art. 55 LJPA, il se justifie de mettre à la charge du recourant un émolument de Fr. 1'500.-- ainsi que des dépens en faveur de la commune, qui a été conseillée par un avocat; ceux-ci sont cependant réduits à Fr. 200.--, compte tenu du fait que l'avocat n'a écrit aucun mémoire et n'a pas participé à la séance.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