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AC.1993.0172 vom 8. November 1993</w:t>
      </w:r>
    </w:p>
    <w:p>
      <w:r>
        <w:t>VD Tribunal cantonal, 1993-11-08, FR</w:t>
      </w:r>
    </w:p>
    <w:p>
      <w:r>
        <w:rPr>
          <w:b/>
        </w:rPr>
        <w:t xml:space="preserve">Quelle: </w:t>
      </w:r>
      <w:r>
        <w:t>https://mcp.opencaselaw.ch/entscheid/vd_omni_AC.1993.0172</w:t>
      </w:r>
    </w:p>
    <w:p>
      <w:r>
        <w:t>FR: VD_OMNI AC.1993.0172 du 8 novembre 1993</w:t>
      </w:r>
    </w:p>
    <w:p>
      <w:r>
        <w:t>IT: VD_OMNI AC.1993.0172 del 8 novembre 1993</w:t>
      </w:r>
    </w:p>
    <w:p>
      <w:pPr>
        <w:pStyle w:val="Heading2"/>
      </w:pPr>
      <w:r>
        <w:t>Regeste</w:t>
      </w:r>
    </w:p>
    <w:p>
      <w:r>
        <w:t>BRUNSCHWIG Pierre c/St-Légier-La Chiésaz | Interprétation souple de cette disposition, notamment des termes : "...entre la délivrance du permis de construire...": l'enquête complémentaire est possible pour modifier un projet contesté par un recours ou pour corriger un projet contre lequel un recours a été admis sur des points secondaires.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août 1992, ne voit pas là de motif de s'écarter de son appréciation initiale. En l'état, les bâtiments existants sur la parcelle des constructrices, destinés à être remplacés par l'immeuble projeté, présentent un aspect quelconque; à proximité, la scierie qui jouxte la construction de Patrick Brunschwig influe plus négativement encore sur l'image du village à cet endroit. Tout bien pesé, le projet n'apparaît en définitive pas de nature à péjorer l'environnement construit du bâtiment du recourant. 7.                             Le recours du 17 juin 1993 doit dès lors être rejeté en tant qu'il conserve un objet; le recours du 19 novembre 1993 doit être écarté lui aussi. Cela étant, un émolument arrêté à Fr. 1'500.-- doit être mis à la charge des recourants, solidairement entre eux; ils seront également astreints au paiement de dépens par Fr. 1'000.-- à la municipalité, respectivement aux sociétés constructrices (art. 55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