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AC.1992.0234 vom 7. April 1994</w:t>
      </w:r>
    </w:p>
    <w:p>
      <w:r>
        <w:t>VD Tribunal cantonal, 1994-04-07, FR</w:t>
      </w:r>
    </w:p>
    <w:p>
      <w:r>
        <w:rPr>
          <w:b/>
        </w:rPr>
        <w:t xml:space="preserve">Quelle: </w:t>
      </w:r>
      <w:r>
        <w:t>https://mcp.opencaselaw.ch/entscheid/vd_omni_AC.1992.0234</w:t>
      </w:r>
    </w:p>
    <w:p>
      <w:r>
        <w:t>FR: VD_OMNI AC.1992.0234 du 7 avril 1994</w:t>
      </w:r>
    </w:p>
    <w:p>
      <w:r>
        <w:t>IT: VD_OMNI AC.1992.0234 del 7 aprile 1994</w:t>
      </w:r>
    </w:p>
    <w:p>
      <w:pPr>
        <w:pStyle w:val="Heading2"/>
      </w:pPr>
      <w:r>
        <w:t>Regeste</w:t>
      </w:r>
    </w:p>
    <w:p>
      <w:r>
        <w:t>ISOZ-BOTTIN Ruth | Tant que son inexactitude n'est pas prouvée, le plan cadastral fait foi s'agissant des limites de la parcelle. Ordre contigu, rappel de jurisprudence. Lucarne ou façade pignon.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de hauteur. c) Enfin, le dossier d'enquête ne donne pas de précisions sur le mode de couverture de cette partie du bâtiment; telle qu'elle est conçue, il apparaît peu vraisemblable que l'art. 10 al. 2 RPE, qui impose une couverture en tuile plate du pays ou au moyen de tout autre modèle de tuile plate d'apparence semblable, puisse être respecté. 5.                             Ces différentes irrégularités conduisent à l'admission du recours et à l'annulation de la décision attaquée. En application de l'art. 55 LJPA, il y a lieu de mettre à la charge des constructeurs un émolument de justice, ainsi qu'une indemnité de dépens en faveur de la recourante, qui obtient gain de cause avec l'assistance d'un homme de loi.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