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AC.1992.0007 vom 29. Juni 1993</w:t>
      </w:r>
    </w:p>
    <w:p>
      <w:r>
        <w:t>VD Tribunal cantonal, 1993-06-29, FR</w:t>
      </w:r>
    </w:p>
    <w:p>
      <w:r>
        <w:rPr>
          <w:b/>
        </w:rPr>
        <w:t xml:space="preserve">Quelle: </w:t>
      </w:r>
      <w:r>
        <w:t>https://mcp.opencaselaw.ch/entscheid/vd_omni_AC.1992.0007</w:t>
      </w:r>
    </w:p>
    <w:p>
      <w:r>
        <w:t>FR: VD_OMNI AC.1992.0007 du 29 juin 1993</w:t>
      </w:r>
    </w:p>
    <w:p>
      <w:r>
        <w:t>IT: VD_OMNI AC.1992.0007 del 29 giugno 1993</w:t>
      </w:r>
    </w:p>
    <w:p>
      <w:pPr>
        <w:pStyle w:val="Heading2"/>
      </w:pPr>
      <w:r>
        <w:t>Regeste</w:t>
      </w:r>
    </w:p>
    <w:p>
      <w:r>
        <w:t>MARDELLE J. c/DAIC | Des clôtures en forêt sont en principe interdites;seul un intérêt public peut justifier une dérogation;ancienne/nouvelle législ. forestière</w:t>
      </w:r>
    </w:p>
    <w:p>
      <w:pPr>
        <w:pStyle w:val="Heading2"/>
      </w:pPr>
      <w:r>
        <w:t>Erwägungen</w:t>
      </w:r>
    </w:p>
    <w:p>
      <w:r>
        <w:rPr>
          <w:b/>
        </w:rPr>
        <w:t>E. 31</w:t>
      </w:r>
    </w:p>
    <w:p>
      <w:r>
        <w:t>LFor; il a estimé que le libre accès aux forêts se justifiait par un intérêt public prépondérant par rapport aux intérêts privés du propriétaire foncier (ATF 105 Ib 273, consid. 2 b et e). La question de savoir si l'art. 699 CCS présentait des aspects de droit privé et de droit public a été laissée ouverte. Dans un arrêt ultérieur, le Tribunal fédéral a néanmoins confirmé une jurisprudence antérieure (ATF 96 I 102), considérant que l'art. 699 CCS constituait une règle de droit mixte, renfermant à la fois des prescriptions de droit privé et de droit public; le principe de libre accès aux forêts pouvait donc être imposé soit par la voie civile, soit par la voie administrative (ATF 106 Ib 47, consid. 4 a). b) La pose de clôtures en forêt étant en principe interdite, reste à examiner si le service intimé pouvait accorder une dérogation dans l'intérêt de la conservation de la forêt au sens de l'art. 3 al. 1 OFor. Le recourant utilise la partie boisée de sa parcelle comme jardin d'agrément. Ni la conservation des forêts, ni aucun autre intérêt public ne permet que cette partie du bien-fonds soit clôturée. La conservation de la forêt exige au contraire la suppression de la clôture. En effet, même si le recourant n'a pas procédé à l'abattage d'arbres, l'inspection locale a permis de constater que les sous-bois et recrûs dans la partie clôturée étaient moins fournis par rapport à ceux de la forêt environnante. Il y a lieu de craindre que cette partie de la forêt soit condamnée à long terme, faute de pouvoir se régénérer et se développer normalement. Or, la législation forestière a précisément pour but principal d'assurer la pérennité de la forêt et de ses structures. L'intérêt du recourant de jouir en exclusivité de la partie boisée de sa parcelle constitue un intérêt purement privé qui ne peut pas primer sur les intérêts publics protégés par la législation forestière. C'est dès lors à juste titre que l'autorité intimée n'a pas envisagé une dérogation au principe de libre accès. L'édification d'une telle clôture était donc manifestement contraire au droit en vigueur à l'époque de son aménagement. 3.                             a) Le fait que l'installation litigieuse est illégale ne signifie pas encore qu'elle doive être automatiquement démolie. La question doit être examinée en application des principes de droit constitutionnel dont celui de la proportionnalité et celui de la protection de la bonne foi. C'est ainsi que le constructeur peut se voir dispenser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heurte pas des intérêts publics prépondérants (ATF 111 Ib 221 consid. 6). Mais l'autorité doit en principe donner un poids prépondérant au rétablissement de la situation réglementaire pour assurer le respect des principes fondamentaux de l'égalité de traitement et de la légalité et n'attacher qu'une importance réduite au préjudice qui en résulterait le cas échéant pour le constructeur (ATF 108 Ia 218 consid. 4 b). b) N'ayant reçu aucune assurance de la part de l'autorité compétente, le recourant ne peut invoquer le principe de la bonne foi. En outre, la violation de la législation forestière, qui interdit les constructions ne servant pas à des fins forestières et garantit le libre accès aux forêts, ne saurait être considérée comme négligeable. L'autorité doit faire appliquer la règle interdisant la pose de clôtures à l'intérieur de l'aire forestière et elle était tenue de prendre les mesures nécessaires pour rétablir la situation réglementaire. N'étant pas privé de la jouissance de la partie boisée de sa parcelle, les inconvénients qui résulteront pour le recourant de la suppression de la clôture litigieuse ne sont pas très importants. Par surabondance, il sied de relever qu'en tolérant l'installation en cause le service intimé créerait un précédant dans une région où le "grignotage" des forêts (clôtures, cabanes etc.) a déjà tendance à s'installer, car la plupart des forêts privées sises sur le territoire de la Commune Epalinges se situe en lisière des zones à bâtir. 4.                             Le recourant est d'avis que le service intimé est déchu de son droit d'exiger l'enlèvement de la clôture litigieuse après avoir toléré son existence pendant plus de dix ans. Le Tribunal fédéral a fixé le délai de péremption du droit d'ordonner la démolition ou l'enlèvement d'une ouvrage non conforme au droit à trente ans, sous réserve du principe de la bonne foi, lorsque l'autorité qui est l'auteur de l'ordre n'est pas intervenue pendant de longues années alors qu'elle connaissait ou devait connaître la situation irrégulière (ATF 107 Ia 121; 105 Ib 265). Selon les explications données à l'audience par le représentant du service intimé, ce dernier repère les installations illégales en forêt au fur et à mesure des inspections locales qu'il effectue dans l'exécution de ses tâches. On ne peut exiger d'un service déjà surchargé de procéder au recensement et à la dénonciation systématiques des ouvrages non autorisés, alors qu'il a d'autres missions aussi importantes à accomplir. En l'espèce, l'autorité intimée est intervenue dès qu'elle a eu connaissance de l'existence de la clôture litigieuse et on ne saurait lui reprocher de ne pas avoir agi plus tôt. 5.                             Les considérants qui précèdent conduisent au rejet du recours. La décision attaquée est confirmée, le délai fixé pour procéder à l'enlèvement de la clôture étant reporté au 31 octobre 1993. Un émolument de Fr. 500.- est mis à la charge du recourant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