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AC.1991.0139 vom 1. Juni 1992</w:t>
      </w:r>
    </w:p>
    <w:p>
      <w:r>
        <w:t>VD Tribunal cantonal, 1992-06-01, FR</w:t>
      </w:r>
    </w:p>
    <w:p>
      <w:r>
        <w:rPr>
          <w:b/>
        </w:rPr>
        <w:t xml:space="preserve">Quelle: </w:t>
      </w:r>
      <w:r>
        <w:t>https://mcp.opencaselaw.ch/entscheid/vd_omni_AC.1991.0139</w:t>
      </w:r>
    </w:p>
    <w:p>
      <w:r>
        <w:t>FR: VD_OMNI AC.1991.0139 du 1 juin 1992</w:t>
      </w:r>
    </w:p>
    <w:p>
      <w:r>
        <w:t>IT: VD_OMNI AC.1991.0139 del 1 giugno 1992</w:t>
      </w:r>
    </w:p>
    <w:p>
      <w:pPr>
        <w:pStyle w:val="Heading2"/>
      </w:pPr>
      <w:r>
        <w:t>Regeste</w:t>
      </w:r>
    </w:p>
    <w:p>
      <w:r>
        <w:t>Hoirie HAGIN c/ LAUSANNE | agrandissement d'un bâtiment (villa) non conforme sur plusieurs points aux règles de la zone à bâtir; pas d'aggravation de l'atteinte à la réglementation en vigueur; pas d'inconvénients excessifs pour les voisins.</w:t>
      </w:r>
    </w:p>
    <w:p>
      <w:pPr>
        <w:pStyle w:val="Heading2"/>
      </w:pPr>
      <w:r>
        <w:t>Erwägungen</w:t>
      </w:r>
    </w:p>
    <w:p>
      <w:r>
        <w:rPr>
          <w:b/>
        </w:rPr>
        <w:t>E. 2</w:t>
      </w:r>
    </w:p>
    <w:p>
      <w:r>
        <w:t>ch. 1 RPQ, qui a trait aux toitures, ne sont pas respectés. La question de l'admissibilité des transformations envisagées sur un bâtiment non conforme aux règles de la zone à bâtir entrées en force postérieurement est traitée, en droit cantonal, par les art. 80 et 82 LATC et, dans la réglementation communale lausannoise, par l'art. 80 RPE. Toutefois, la jurisprudence et la doctrine considèrent que le droit cantonal règle cette question de manière exhaustive (RDAF 1989, p. 314 ss et les arrêts cités; Didisheim, Le statut des ouvrages non réglementaires en droit vaudois, particulièrement dans les zones à bâtir, RDAF 1987, p. 387 ss), de sorte que le présent litige doit être examiné à la lumière du seul art. 80 LATC (vu le renvoi de l'art. 82 LATC), plus précisément de l'alinéa 2 de cette disposition. 3.                             a) L'art. 80 al. 2 LATC pose une première condition en prescrivant que la transformation envisagée ne doit pas porter une atteinte sensible au dévelop-pement, au caractère ou à la destination de la zone. L'agrandissement projeté en l'espèce doit être qualifié de modeste. Il se ferait sur un seul niveau et aurait pour effet de porter la surface habitable de la villa de 80 à 104 mètres carrés. Il ne fait guère de doute que cette modification ne porterait atteinte ni au développement ni à la destination de la zone. En effet, comme on l'a vu plus haut (partie "En fait", point A.), les villas bordant le côté sud de la rue des Amis sont destinées à être remplacées, à plus ou moins long terme, par un immeuble de cinq niveaux, occupant la plus grande partie des parcelles 2115 à 2118. On ne voit dès lors pas comment le modeste agrandissement prévu pourrait faire obstacle à ce développement. Les recourants soutiennent qu'en l'occurrence, ce serait le caractère de la zone qui serait atteint. Plus précisément, la transformation en cause irait à l'encontre des efforts des propriétaires voisins qui auraient rénové leurs maisons en préservant le caractère de leur quartier. Ce grief ne peut qu'être soulevé en vain, dès lors que le caractère actuel de la zone est justement amené à disparaître de par la concrétisation du plan de quartier en vigueur. Examiner ce grief reviendrait donc à remettre en cause le plan de quartier, ce qui ne saurait se faire dans le cadre de la présente procédure. b) L'art. 80 al. 2 LATC pose une deuxième condition à la réalisation des travaux envisagés en ce sens que ceux-ci ne doivent pas aggraver l'atteinte à la réglementation en vigueur ou les inconvénients qui en résultent pour le voisinage. En ce qui concerne l'atteinte à la réglementation en vigueur, il est clair que les travaux n'entraîneraient aucune aggravation relativement à la limite des constructions, puisqu'aucune transformation n'est prévue sur la partie nord de la parcelle. Il s'agit encore de déterminer s'ils auraient pour conséquence une aggravation de la non-conformité au règlement du plan de quartier. Selon la jurisprudence, pour procéder à cet examen, il convient de rechercher quel est le but des normes transgressées (RDAF 1989, p. 314 ss). En l'espèce, le plan de quartier et le règlement qui lui est lié ont pour objectif le remplacement des villas sises sur les parcelles 2115 à 2118 par un seul immeuble, occupant la plus grande partie de ces bien-fonds. Une fois le plan de quartier concrétisé, la situation sera donc totalement différente de celle qui prévaut actuellement. Il apparaît dès lors que l'agrandissement litigieux ne devrait être prohibé que s'il avait pour effet de remettre en cause ou de retarder la réalisation de ce plan. Examiner cette question revient en définitive, dans un cas de ce genre, à vérifier si le projet litigieux ne compromet pas le développement de la zone. Or, comme on l'a vu plus haut, tel ne serait pas le cas en l'espèce, vu notamment le peu d'importance de l'agrandissement envisagé. Reste la question des inconvénients pouvant être causés au voisinage. Selon le conseil de la municipalité, seuls devraient être pris en compte les inconvénients résultant de l'atteinte à la réglementation en vigueur. De son côté, la Commission cantonale de recours en matière de constructions (ci-après : la CCRC) n'a, en règle générale, dans sa jurisprudence, pas opéré une telle distinction, examinant tous les inconvénients pouvant résulter d'une transformation. En l'occurrence, il n'est pas nécessaire d'aplanir cette divergence car, comme on le verra ci-après, les inconvénients dont font état les recourants ne sont de toute manière pas susceptibles d'empêcher la réalisation du projet. En cette matière, la jurisprudence s'est largement inspirée de celle adoptée relativement à l'art. 39 al. 4. RATC. Elle a notamment repris le principe selon lequel le préjudice causé au voisinage, pour fonder l'interdiction d'une construction, doit dépasser les seuls inconvénients supportables sans sacrifices excessifs (voir à ce sujet Benoît Bovay, Exposé systématique de la jurisprudence rendue en 1989 par la CCRC, RDAF 1990, p. 255). Les recourants prétendent qu'ils subiraient en l'espèce plusieurs désavantages du fait de la réalisation de l'agrandissement projeté : diminution de l'espace aéré de leur jardin, perte d'ensoleillement, perte d'éclairage naturel dans leur salle de séjour, favorisation de la vue directe sur leur terrasse. Le Tribunal considère toutefois que si l'on ne peut exclure totalement la survenance d'inconvénients, ceux-ci seront minimes et en tout cas ne dépasseront pas ce qui est supportable sans sacrifices excessifs. En particulier, l'ensoleillement ne risque guère d'être diminué, vu la présence, à l'est, de l'immeuble sis en bordure de la rue des Crêtes; la perte d'éclairage et la diminution de l'espace aéré du jardin devrait s'avérer insignifiante, si l'on considère que, compte tenu de l'avant-toit et des murs existants, l'agrandissement en profondeur mesurera environ 2,35 mètres. Quant aux possibilités de vue directe sur la terrasse de la propriété Hagin, force est de reconnaître qu'elles ne pourront que diminuer, vu la prolongation du mur se trouvant entre les deux parcelles. 4.                             Les considérants qui précèdent conduisent au rejet du recours. En application de l'art. 55 LJPA, un émolument, arrêté à Fr. 1'500.--, est mis à la charge des recourants, solidairement entre eux. Les constructeurs, qui obtiennent gain de cause avec l'assistance d'un homme de loi, ont droit à des dépens, arrêtés à Fr. 1'000.--. Suivant la pratique du Tribunal fédéral en la matière, l'octroi de dépens à la commune de Lausanne ne se justifie pas dans la mesure où elle dispose d'une infrastructure suffisamment développée pour assurer la défense de ses intérêts sans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