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AC.1990.5499 vom 30. September 1997</w:t>
      </w:r>
    </w:p>
    <w:p>
      <w:r>
        <w:t>VD Tribunal cantonal, 1997-09-30, FR</w:t>
      </w:r>
    </w:p>
    <w:p>
      <w:r>
        <w:rPr>
          <w:b/>
        </w:rPr>
        <w:t xml:space="preserve">Quelle: </w:t>
      </w:r>
      <w:r>
        <w:t>https://mcp.opencaselaw.ch/entscheid/vd_omni_AC.1990.5499</w:t>
      </w:r>
    </w:p>
    <w:p>
      <w:r>
        <w:t>FR: VD_OMNI AC.1990.5499 du 30 septembre 1997</w:t>
      </w:r>
    </w:p>
    <w:p>
      <w:r>
        <w:t>IT: VD_OMNI AC.1990.5499 del 30 settembre 1997</w:t>
      </w:r>
    </w:p>
    <w:p>
      <w:pPr>
        <w:pStyle w:val="Heading2"/>
      </w:pPr>
      <w:r>
        <w:t>Regeste</w:t>
      </w:r>
    </w:p>
    <w:p>
      <w:r>
        <w:t>Commune La Tour-de-Peilz c/SFFN | Révocation d'une décision formellement en force : principes.</w:t>
      </w:r>
    </w:p>
    <w:p>
      <w:pPr>
        <w:pStyle w:val="Heading2"/>
      </w:pPr>
      <w:r>
        <w:t>Erwägungen</w:t>
      </w:r>
    </w:p>
    <w:p>
      <w:r>
        <w:rPr>
          <w:b/>
        </w:rPr>
        <w:t>E. 47</w:t>
      </w:r>
    </w:p>
    <w:p>
      <w:r>
        <w:t>m2; ce faisant, le couvert serait presque agrandi de moitié, ce qui ne saurait être considéré comme un agrandissement de peu d'importance. Le couvert, dont la surface deviendrait ainsi plus grande que celle du bâtiment principal (46 m2), verrait en outre son apparence profondément modifiée : le toit serait en effet rehaussé, sa pente adoucie et ses pans prolongés; les façades, agrandies, comprendraient désormais des fenêtres (deux au nord-est, une au nord-ouest, une au sud-ouest) et une grande lucarne à un pan de plus de 4 mètres 50 de large (au nord-ouest); enfin, des toiles seraient fixées sous l'avant-toit en façade sud-ouest pour protéger du soleil les utilisateurs du refuge. L'ensemble de ces travaux auraient ainsi pour effet de créer un ouvrage qui n'aurait plus de rapport avec le couvert rustique actuel. Quant au bâtiment principal, son organisation intérieure serait entièrement modifiée de façon à pouvoir accueillir 30 personnes (contre 16 actuellement); elle comprendrait une cuisine, une pièce de service, des toilettes séparées pour hommes et femmes, ainsi qu'à l'étage un appartement de deux chambres avec hall et salle de bains. Or cette nouvelle organisation ne s'intègre pas logiquement au bâtiment dans le cadre de l'affectation de la zone: elle n'est en effet pas dictée par des raisons liées au traitement de la forêt, mais par le désir d'améliorer le confort des utilisateurs du refuge. Il s'ensuit que les travaux projetés ne peuvent être considérés comme une transformation partielle au sens de l'art. 24 al. 2 LAT (v. DFJP/ OFAT, op. cit., p. 295, note 36). Il n'est dès lors pas nécessaire d'examiner si, et le cas échéant dans quelle mesure, il pourrait être autorisé selon le droit cantonal. Comme il ne s'agit pas d'une transformation partielle, il n'est pas davantage nécessaire d'examiner si le projet est compatible avec les exigences majeures de l'aménagement du territoire (JT 1986 I 553 consid. 3 b). b) Lorsque l'on ne se trouve pas en présence d'une transformation partielle, le projet doit être considéré comme une construction nouvelle au sens de l'art. 24 al. 1 LAT (ATF 107 Ib 242; 108 Ib 361). Reste à déterminer si les conditions posées par cette disposition sont réunies dans le cas particulier. L'art. 24 al. 1 LAT exige en premier lieu que l'implantation de la construction hors de la zone à bâtir soit imposée par sa destination (lit. a). Pour satisfaire à cette exigence, il faut que des raisons objectives - techniques, économiques ou découlant de la configuration du sol - justifient la réalisation de l'ouvrage à l'emplacement prévu. Le lien entre l'implantation et la destination de la construction peut être positif: l'emplacement est dicté en fonction de celle-ci. Mais le lien peut être également négatif, quand il est impossible d'implanter la construction ou l'installation en zone à bâtir. Des motifs de convenance personnelle ou financière ne suffisent pas à justifier une implantation en dehors de la zone à bâtir (JT 1992 I 464 consid. 3 a et les références citées; F. Meyer Stauffer, op. cit., p. 33). Si l'on peut admettre qu'à l'époque de sa construction (en 1932), le refuge ne pouvait remplir sa fonction qu'en étant érigé dans la forêt, hors de la zone à bâtir, tel n'est plus le cas aujourd'hui. En effet les équipes chargées de l'entretien des forêts disposent de moyens de locomotion leur permettant normalement de rejoindre leur domicile chaque soir, surtout dans une zone aussi facile d'accès. Ainsi, dans la mesure où le refuge est censé servir de logement aux bûcherons, son implantation dans l'aire forestière ne répond à aucun besoin objectivement fondé. Quant aux activités récréatives et de loisirs pour lesquelles sont effectivement conçues les transformations projetées, elles peuvent normalement trouver place en zone à bâtir ou dans des zones spécialement affectées à cet effet; il n'existe a priori aucune nécessité, même relative, de leur sacrifier une partie de l'aire forestière (dans ce sens, à propos d'une place communale de jeu et de fête, ATF 114 Ib 235). On observera enfin que lorsque des travaux débordent du cadre de l'art. 24 al. 2 LAT, le constructeur ne peut pas justifier son projet par l'implantation de la construction existante à transformer (arrêt AC 95/0195 du 25 janvier 1996). Ainsi, faute de répondre à la condition posée par l'art. 24 al. 1 lit. a LAT, les travaux projetés ne pouvaient pas bénéficier d'une autorisation exceptionnelle du DTPAT. Les conditions de l'art. 24 al. 1 lit. a et b LAT étant cumulatives, point n'est besoin d'examiner cette seconde disposition. 4.                     Les réglementations entrées en vigueur postérieurement à la décision du Service des forêts et de la faune du 30 novembre 1990 ne permettraient pas non plus d'autoriser les travaux litigieux : a) La loi fédérale du 4 octobre 1991 sur les forêts (LFo) interdit les défrichements (art. 5 al. 1), par quoi il faut entendre tout changement durable ou temporaire de l'affectation du sol forestier (art. 4). N'est pas considérée comme défrichement l'affectation du sol forestier à des constructions et installations forestières, de même qu'à de petites constructions et installations non forestières (art. 4 lit. a de l'ordonnance du 30 novembre 1992 sur les forêts OFO ). Mais on a vu que les transformations projetées ne correspondaient ni à l'une ni à l'autre de ces hypothèses. Dans ces conditions une autorisation ne pourrait être accordée que si le défrichement répondait à des exigences primant l'intérêt à la conservation de la forêt et à condition que (a) l'ouvrage pour lequel le défrichement est sollicité ne puisse être réalisé qu'à l'endroit prévu; (b) l'ouvrage remplisse, du point de vue matériel, les conditions posées en matière d'aménagement du territoire; (c) le défrichement ne présente pas de sérieux danger pour l'environnement (art. 5 al. 2 LFo). Or, ainsi qu'on vient également de le voir, la première et la seconde de ces conditions ne sont pas remplies. b) D'autre part la procédure d'adoption du plan d'affectation cantonal no 291 (destiné à abroger le PEC 56 et le plan de la zone réservée des Grangettes adoptés par le Conseil d'Etat le 11 juin 1993) est toujours en cours, mais ne devrait pas modifier la situation. Selon le plan mis à l'enquête, le refuge se situe dans un secteur de forêt à vocation mixte, destiné à permettre le développement de peuplements caractéristiques des forêts alluviales dans leur composition et leur structure, tout en conservant ses fonctions de production et d'espace de détente (art. 12 al. 1 lit. b du règlement); les constructions isolées existantes et leurs abords sont régis par la législation fédérale et cantonale applicable aux constructions hors des zones à bâtir (art. 13 al. 1, 1ère phrase), soit notamment par l'art. 24 LAT, dont on sait qu'il ne permet pas les transformations projetées. 5.                     Une décision administrative formellement en force peut être révoquée lorsqu'elle ne correspond pas ou ne correspond plus à l'intérêt public ni au droit en vigueur. La contrariété à l'ordre juridique peut affecter la décision ab initio ou n'intervenir que postérieurement (arrêt AC 93/287 du 1er juillet 1994). La jurisprudence a toutefois posé des limites à la révocation, la sécurité du droit pouvant imposer qu'un acte qui a constaté ou créé une situation juridique ne soit pas remis en cause par la suite.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une indemnité est due. Au contraire, les exigences de la sécurité du droit peuvent être prioritaires même lorsqu'aucune de ces trois hypothèses n'est réalisée (ATF 121 II 276, 119 Ib 155 et les références citées). En outre l'application correcte du droit objectif doit en principe l'emporter sur le principe de sécurité du droit, lorsque les intérêts qui s'opposent sont ceux de deux collectivités publiques (ATF 99 Ib 459). En l'espèce, le refuge est compris dans le périmètre du site des Grangettes qui figure à l'inventaire fédéral des paysages, des sites et des monuments naturels d'importance nationale (objet 15 02), à l'inventaire fédéral des zones alluviales d'importance nationale (objet 123) et à l'inventaire fédéral des sites marécageux d'une beauté particulière et d'importance nationale (objet 129). Or l'inscription dans un inventaire fédéral montre que l'objet mérite spécialement d'être conservé intact ou en tout cas d'être ménagé le plus possible (art. 6 al. 1 de la loi fédérale sur la protection de la nature et du paysage du 1er juillet 1966, LPN). Ainsi les cantons doivent-ils prendre les mesures de protection et d'entretien nécessaires pour atteindre les buts visés par la protection, et veiller en particulier à ce que les exploitations existantes ou futures, notamment l'agriculture et la sylviculture, la navigation et les activités de loisirs, soient en accord avec le but visé par la protection (art. 5 al. 2 lit. c de l'ordonnance sur les zones alluviales du 28 octobre 1992) ou encore à ce que des installations ou constructions qui ne servent ni à l'entretien des biotopes, ni au maintien des habitats typiques, ne soient érigées ou agrandies que si elles ont une importance nationale, ne peuvent être réalisées qu'à l'endroit prévu et n'entrent pas en contradiction avec les buts visés par la protection (art. 5 al. 2 lit. d de l'ordonnance sur les sites marécageux du 1er mai 1996). Il s'ensuit que la protection du lieu-dit "Le Fort", dans lequel se situe le refuge, répond à un intérêt public particulièrement important. Or les travaux projetés sont en contradiction avec le but général visé par cette protection : ils ne seraient pas réalisés pour conserver la flore et la faune des lieux et ils permettraient en définitive une utilisation plus intensive du refuge, dont il y a tout lieu de craindre qu'elle porte atteinte aux éléments protégés. Dans ces circonstances, la protection du site des Grangettes devait l'emporter sur le fait que le projet litigieux avait fait l'objet d'un examen approfondi de la part des services de l'Etat, et une révocation de l'autorisation spéciale accordée par le Service des forêts et de la faune le 28 mai 1990 se justifiait. Contrairement à ce que soutient implicitement la recourante, le caractère prépondérant de la protection du site des Grangettes n'est pas affaibli par l'autorisation qui a été accordée de réhabiliter une ferme sise au lieu-dit "L'Essert", ni par le projet d'étendre la zone du camping, toutes deux situées dans le site des Grangettes. Il apparaît en effet que la restauration et la transformation de la ferme de "L'Essert" permettait de sauver ce bâtiment classé dont le très mauvais état nécessitait une intervention urgente (il constitue l'un des derniers témoins d'un certain type d'architecture de la plaine du Rhône). Quant à l'agrandissement de la zone du camping que prévoit le PAC 291, il marque certes la volonté de tolérer les activités touristiques et de loisirs dans le périmètre du site marécageux à protéger, mais aussi de les concentrer à un endroit précis, compatible avec les buts de protection poursuivis par le plan; il ne saurait constituer un motif de tolérer ailleurs, en particulier dans le secteur forestier de "Le Fort", une aggravation des atteintes existantes. 6.                     Conformément à l'art. 55 LJPA, il convient de mettre un émolument de justice à la charge de la Commune de la Tour-de-Peilz.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