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ZQ25.055955 vom 23. Februar 2026</w:t>
      </w:r>
    </w:p>
    <w:p>
      <w:r>
        <w:t>VD Tribunal cantonal, 2026-02-23, FR</w:t>
      </w:r>
    </w:p>
    <w:p>
      <w:r>
        <w:rPr>
          <w:b/>
        </w:rPr>
        <w:t xml:space="preserve">Quelle: </w:t>
      </w:r>
      <w:r>
        <w:t>https://mcp.opencaselaw.ch/entscheid/vd_gerichte_ZQ25.055955</w:t>
      </w:r>
    </w:p>
    <w:p>
      <w:r>
        <w:t>FR: VD_GERICHTE ZQ25.055955 du 23 février 2026</w:t>
      </w:r>
    </w:p>
    <w:p>
      <w:r>
        <w:t>IT: VD_GERICHTE ZQ25.055955 del 23 febbraio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10J001</w:t>
      </w:r>
    </w:p>
    <w:p>
      <w:r>
        <w:t>- 5 -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du recourant aux indemnités journalières de chômage durant trente et un jours, prononcée au motif qu’il aurait refusé de donner suite à une assignation de postuler à un emploi réputé convenable.</w:t>
      </w:r>
    </w:p>
    <w:p>
      <w:r>
        <w:rPr>
          <w:b/>
        </w:rPr>
        <w:t>E. 3</w:t>
      </w:r>
    </w:p>
    <w:p>
      <w:r>
        <w:t>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10J001</w:t>
      </w:r>
    </w:p>
    <w:p>
      <w:r>
        <w:t>- 6 -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du 21 février 2002 consid. 4). c)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 141/06 du 24 mai 2007 consid. 3 ; TF C 136/06 du 16 mai 2007 consid. 3 et les références citées). A cet égard, l’assignation doit être rédigée de manière à ce que le caractère officiel et obligatoire de l’injonction qu’elle contient ne puisse prêter à confusion (Boris Rubin, Assurance-chômage, Genève/Zurich 2025, p. 168).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TF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10J001</w:t>
      </w:r>
    </w:p>
    <w:p>
      <w:r>
        <w:t>- 7 - bien que, selon les circonstances, il eût pu faire cette déclaration (TF 8C_476/2012 du 23 janvier 2013 consid. 2 ; 8C_379/2009 du 13 octobre 2009 consid. 4.2 ; TFA C 81/05 du 29 novembre 2005 consid. 4 et les références citées ; cf. Rubin, op. cit., pp. 166 ss et les références citées). d) La notion de travail convenable est définie a contrario à l’art. 16 al. 2 LACI. N’est notamment pas réputé convenable tout travail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w:t>
      </w:r>
    </w:p>
    <w:p>
      <w:r>
        <w:rPr>
          <w:b/>
        </w:rPr>
        <w:t>E. 4</w:t>
      </w:r>
    </w:p>
    <w:p>
      <w:r>
        <w:t>En l’occurrence, il est reproché au recourant de ne pas avoir donné suite à l’assignation qu’il avait reçue le 14 mai 2025 pour le poste de chef de projet et de responsable du développement commercial pour le compte de la société H.________ Sàrl. a) Ainsi que cela ressort de la décision sur opposition rendue le 20 octobre 2025 par l'intimée, le poste de chef de projet et de responsable du développement commercial auprès de la société H.________ Sàrl devait 10J001</w:t>
      </w:r>
    </w:p>
    <w:p>
      <w:r>
        <w:t>- 8 - indubitablement être qualifié de convenable. En effet, le poste assigné présentait une adéquation suffisante avec le profil du recourant. Celui-ci se définit comme un professionnel des ventes et du développement commercial et dispose d’une expérience significative dans la gestion et la coordination de comptes clés, la prospection et l’analyse de marché, la négociation ainsi que la planification et l’exécution de campagnes commerciales. Or la fonction proposée comportait précisément des tâches de développement commercial, de gestion de projets, de rédaction d’offres et d’acquisition de clients, compétences manifestement transférables indépendamment du secteur d’activité concerné. Le fait que le recourant ait indiqué que ledit poste requérait des compétences dont il ne disposait pas et qu'il recherchait un emploi dans le domaine du sport et des médias n'est pas déterminant. Qu’un emploi proposé ne corresponde pas nécessairement aux qualifications et aux vœux professionnels de la personne assurée ne l'autorise pas encore à refuser cette occasion de travail en cas de risque élevé de se retrouver au chômage. En pareilles circonstances, il appartient à la personne assurée de postuler et à l'employeur de décider en définitive si le candidat remplit ou non les exigences du poste. Rien n'empêche par ailleurs le travailleur de considérer que l’emploi en question ne constitue qu'une transition vers la conclusion future d'un contrat de travail correspondant mieux à ses aspirations professionnelles (Boris Rubin, Assurance-chômage, Droit fédéral, Survol des mesures cantonales, Procédure, 2ème éd. 2006, p. 407). En ne donnant pas suite à l'assignation transmise par sa conseillère en placement, le recourant s'est par conséquence rendu coupable d'une négligence grave, ce dont il ne disconvient pas véritablement dans le cadre de son recours. b) En outre, l’assignation du 14 mai 2025 mentionnait clairement l’obligation de postuler dans un délai de quarante-huit heures ainsi que les conséquences d’une abstention. Il appartenait dès lors au recourant d’en prendre connaissance avec toute l’attention requise et de se conformer aux modalités indiquées. S’il l’avait fait, il ne pouvait ignorer qu’il lui appartenait de transmettre lui-même sa candidature dans le délai imparti. Le malentendu qu’il invoque, lié à la brièveté du délai et à une confusion quant au mode de transmission de son dossier, ne saurait ainsi le 10J001</w:t>
      </w:r>
    </w:p>
    <w:p>
      <w:r>
        <w:t>- 9 - libérer de son obligation. En cas d’incertitude sur la procédure à suivre, il lui incombait de prendre immédiatement contact avec l’ORP afin d’obtenir les clarifications nécessaires. Par ailleurs, l’absence alléguée par le recourant d’un rappel explicite sur les modalités de l’assignation lors de l’entretien de conseil du 14 mai 2025 ne modifie pas cette appréciation, les indications figurant dans l’assignation étant suffisamment claires. c) Aussi convient-il d’admettre que le recourant a laissé échapper une possibilité concrète de retrouver un emploi convenable. Conformément à la jurisprudence susmentionnée (cf. consid. 3c supra), un tel comportement est assimilable à un refus d’emploi et entraîne une suspension du droit à l’indemnité de chômage (art. 30 al. 1 let. d LACI).</w:t>
      </w:r>
    </w:p>
    <w:p>
      <w:r>
        <w:rPr>
          <w:b/>
        </w:rPr>
        <w:t>E. 5</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8C_767/2017 du 31 octobre 2018 consid. 4.3 ; cf. également Rubin, op. cit., p. 178). b) Conformément à l’art. 45 al. 4 OACI, il y a faute grave lorsque, sans motif valable, l’assuré abandonne un emploi réputé 10J001</w:t>
      </w:r>
    </w:p>
    <w:p>
      <w:r>
        <w:t>- 10 - convenable sans être assuré d’obtenir un nouvel emploi (let. a) ou qu’il refuse un emploi réputé convenable (let. b).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consid. 3.5 ; TF 8C_283/2021 du 15 août 2021 consid. 3.2).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(TF 8C_283/2021 précité consid. 3.2).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 chômage (TF 8C_750/2021 du 20 mai 2022 consid. 3.2 et les références citées). d) En l’espèce, la durée de suspension, fixée à trente et un jours, correspond au minimum prévu par la loi en cas de faute grave. Il n’y a pas lieu de retenir de circonstances atténuantes pouvant légitimer une réduction de la durée de suspension, étant précisé que les motifs de s’écarter de la faute grave doivent être admis restrictivement. Même si le recourant a déclaré n’avoir eu aucune intention de refuser l’emploi litigieux, 10J001</w:t>
      </w:r>
    </w:p>
    <w:p>
      <w:r>
        <w:t>- 11 - son omission résultant d’une confusion de sa part relative au mode de transmission de son dossier de candidature, il lui appartenait quoi qu’il en soit de prendre connaissance du contenu de l’assignation litigieuse, laquelle indiquait de manière non équivoque qu’il devait adresser un courriel à l’employeur. Aussi, l’omission du recourant n’apparaît pas excusable au regard du principe selon lequel la personne assurée qui veut bénéficier des prestations de l’assurance-chômage est tenue, dans le cadre de son obligation de réduire le dommage, de faire tout ce qui est nécessaire pour éviter ou raccourcir son chômage. Parmi les obligations qui lui incombent, il y a celle de répondre dans le délai fixé aux assignations qui lui sont adressées. Par ailleurs, le fait que le recourant a satisfait à ses obligations de demandeur d’emploi ne permet pas de renoncer à la sanction puisqu’il ne constitue pas un motif valable pour refuser un travail convenable (TF 8C_650/2017 du 25 juin 2018 consid. 7.4). Il en va de même s’agissant de l’argument du recourant tendant à faire admettre que son profil ne correspondrait pas aux exigences du poste assigné, étant rappelé que, selon la jurisprudence, les faibles chances d’obtenir un poste ne constituent pas non plus un motif valable (TF 8C_313/2021 du 3 août 2021 consid. 5.3 et la référence citée). Etant donné que le recourant n’avance aucune circonstance particulière, tant objective que subjective, qui permettrait de qualifier sa faute de moyenne ou de légère, il n’y a aucun motif susceptible de justifier une sanction inférieure au minimum de trente et jours prévu en cas de faute grave. e) Sur le vu de ce qui précède, il y a lieu de constater que, au vu des circonstances concrètes du cas d’espèce, la sanction de trente et un jours de suspension prononcée par l’intimée ne prête pas le flanc à la critique, si bien qu’elle doit être confirmée.</w:t>
      </w:r>
    </w:p>
    <w:p>
      <w:r>
        <w:rPr>
          <w:b/>
        </w:rPr>
        <w:t>E. 6</w:t>
      </w:r>
    </w:p>
    <w:p>
      <w:r>
        <w:t>a) En définitive, le recours, mal fondé, doit être rejeté et la décision sur opposition attaquée confirmée. b) Il n’y a pas lieu de percevoir de frais judiciaires (art. 61 let. fbis LPGA), ni d’allouer de dépens à la partie recourante qui n’obtient pas gain de cause (art. 61 let. g LPGA). 10J001</w:t>
      </w:r>
    </w:p>
    <w:p>
      <w:r>
        <w:t>- 12 - Par ces motifs, le juge unique p r o n o n c e : I. Le recours est rejeté. II. La décision sur opposition rendue le 20 octobre 2025 par la Direction générale de l’emploi et du marché du travail est confirmée. III. Il n’est pas perçu de frais judiciaires, ni alloué de dépens. Le juge unique : La greffière : 10J001</w:t>
      </w:r>
    </w:p>
    <w:p>
      <w:r>
        <w:t>- 13 -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