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ZQ25.052793 vom 2. März 2026</w:t>
      </w:r>
    </w:p>
    <w:p>
      <w:r>
        <w:t>VD Tribunal cantonal, 2026-03-02, FR</w:t>
      </w:r>
    </w:p>
    <w:p>
      <w:r>
        <w:rPr>
          <w:b/>
        </w:rPr>
        <w:t xml:space="preserve">Quelle: </w:t>
      </w:r>
      <w:r>
        <w:t>https://mcp.opencaselaw.ch/entscheid/vd_gerichte_ZQ25.052793</w:t>
      </w:r>
    </w:p>
    <w:p>
      <w:r>
        <w:t>FR: VD_GERICHTE ZQ25.052793 du 2 mars 2026</w:t>
      </w:r>
    </w:p>
    <w:p>
      <w:r>
        <w:t>IT: VD_GERICHTE ZQ25.052793 del 2 marzo 2026</w:t>
      </w:r>
    </w:p>
    <w:p>
      <w:pPr>
        <w:pStyle w:val="Heading2"/>
      </w:pPr>
      <w:r>
        <w:t>Erwägungen</w:t>
      </w:r>
    </w:p>
    <w:p>
      <w:r>
        <w:rPr>
          <w:b/>
        </w:rPr>
        <w:t>E. 4</w:t>
      </w:r>
    </w:p>
    <w:p>
      <w:r>
        <w:t>a) Aux termes de l’art. 8 LACI, l’assuré a droit à l’indemnité de chômage s’il remplit, de manière cumulative, les conditions fixées à l’alinéa 1 de cette disposition. b) D’après la jurisprudence, le travailleur qui jouit d’une situation professionnelle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10J010</w:t>
      </w:r>
    </w:p>
    <w:p>
      <w:r>
        <w:t>- 7 -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(TF 8C_108/2021 du</w:t>
      </w:r>
    </w:p>
    <w:p>
      <w:r>
        <w:rPr>
          <w:b/>
        </w:rPr>
        <w:t>E. 9</w:t>
      </w:r>
    </w:p>
    <w:p>
      <w:r>
        <w:t>juillet 2021, consid. 3 et les références citées) ; il en va de même des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Ce n’est pas l’abus avéré comme tel que la loi et la jurisprudence entendent sanctionner, mais le risque d’abus que représente le versement d’indemnités à un travailleur jouissant d’une situation comparable à celle d’un employeur ; il suffit qu’une continuité des activités soit possible pour que le droit doive être nié en raison d’un risque de contournement de la loi (ATF 123 V 234 consid. 7b/bb ; TF 8C_108/2021 précité consid. 3 ; TF 8C_384/2020 précité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10J010</w:t>
      </w:r>
    </w:p>
    <w:p>
      <w:r>
        <w:t>- 8 - d'influencer la perte de travail qu'il subit et pour laquelle il demande l'indemnité de chômage (sur l'ensemble de cette problématique, voir Boris Rubin, Commentaire de la loi sur l'assurance-chômage, 2014, ad art. 10 n° 18 et ss ; également du même auteur, Droit à l'indemnité de chômage des personnes occupant une position assimilable à celle d'un employeur, in DTA 2013 n° 1, p. 1-12 ; TF 8C_536/2013 du 14 mai 2014 consid. 3).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(ATF 145 V 200 consid. 4.2 ; 122 V 270 consid. 3 ; TF 8C_384/2020 consid. 3.1 et 8C_811/2019 consid. 3.1.3 précités et les références citées).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10J010</w:t>
      </w:r>
    </w:p>
    <w:p>
      <w:r>
        <w:t>- 9 - l’effectivité de la sortie du cercle des personnes ayant une influence considérable sur la marche de l’entreprise et non, en cas de contradiction, la date de la radiation de l’inscription au registre du commerce ou celle de la publication dans la FOSC (ATF 126 V 134 consid. 5b ; TF 8C_102/2018 du 21 mars 2018 consid. 6.3 ; TF 8C_1016/2012 du 19 août 2013 consid. 4.3 et les références citées).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 ci ou en cas de démission de la fonction dirigeante) ou, s'agissant du conjoint licencié, lorsque celui-ci a travaillé dans une autre entreprise que celle dans laquelle son mari ou sa femme occupe une position assimilable à un employeur (TF 8C_163/2016 du 17 octobre 2016 consid. 4 ; TF 8C_295/2014 du 7 avril 2015 consid. 4). Pour des raisons de sécurité juridique, est assimilée au conjoint la personne simplement séparée de fait du conjoint. En cas de divorce ou de séparation, le droit peut être reconnu dès la date du divorce, respectivement dès la date de la séparation juridique (Boris Rubin, Commentaire de la loi sur l'assurance-chômage, 2014, n° 27 ad art. 10 LACI et les références citées). Ainsi, en cas de difficultés conjugales, le droit ne peut être reconnu que dès le divorce et non dès la séparation, même si la volonté de divorcer est indubitable (Boris Rubin, Assurance-chômage, Manuel à l’usage des praticiens, Genève/Zurich 2025, p.23 et les références citées ; TF 8C_639/2015 du 6 avril 2016 consid 5.2.2). 10J010</w:t>
      </w:r>
    </w:p>
    <w:p>
      <w:r>
        <w:t>- 10 - 5. En l’espèce, la caisse a nié le droit de la recourante à l’indemnité de chômage au motif que son époux occupe une position assimilable à celle d’un employeur au sein des deux sociétés C.________ SA et D.________ Sàrl. La recourante fait valoir qu’elle n’a jamais exercé de fonction dirigeante au sein des sociétés et que son réengagement est exclu en raison de la séparation conjugale en cours. Elle ajoute qu’elle a rompu définitivement tout lien avec les sociétés en question à la suite de la résiliation de ses contrats de travail, et estime dès lors avoir droit au versement de l’indemnité de chômage. En l’occurrence, la recourante a travaillé du 1er janvier 2018 au 31 août 2025 pour le compte de C.________ SA et du 1er janvier 2023 au 31 août 2025 au service de D.________ Sàrl. Elle n’a certes jamais été inscrite en qualité d’associée ou de membre d’un organe dirigeant de ces sociétés ou été détentrice d’une participation financière à celles-ci. Il est toutefois constant qu’à la date de son inscription au chômage, le 8 septembre 2025, soit également la date du début de son droit éventuel à l’indemnité de chômage, son époux, F.________, en était respectivement unique administrateur et unique associé gérant avec droit de signature individuelle. Pour le surplus, rien n’indique, et la recourante ne s’en prévaut pas, que son mari aurait entrepris de quitter ses fonctions dirigeantes au sein de ces sociétés. Le lien conjugal entre l’intéressée et l’administrateur, respectivement associé gérant unique, de ces sociétés rend un contournement de la loi possible, suffisant pour nier le droit à l’indemnité de chômage de l’assurée. Ainsi, concrètement, au 8 septembre 2025, la recourante se trouvait toujours, par l’intermédiaire de son époux, en position d’influencer de manière déterminante les décisions de ses derniers employeurs. Sa situation entrait dès lors incontestablement dans un des cas de figure visés par l’art. 31 al. 3 let. c LACI, sans que la nature des activités exercées par l’intéressée soit déterminante dans ce contexte. Peu importe dès lors qu’elle ait exercé une activité subordonnée, sans pouvoir décisionnel, droit de signature ni participation au capital, puisque c’est le statut de son époux qui est ici décisif. 10J010</w:t>
      </w:r>
    </w:p>
    <w:p>
      <w:r>
        <w:t>- 11 - Les autres faits qu’elle invoque, en particulier la séparation d’avec son époux et les pourparlers de divorce en cours, ne lui sont pour le surplus d’aucun secours, dans la mesure où seule une séparation effective juridiquement, en l’occurrence un jugement de divorce entré en force, permettrait de reconnaitre le droit à l’indemnité de chômage de la recourante (cf. consid. 4d supra). On relèvera également que la recourante n’a pas travaillé pour un autre employeur que les sociétés dans lesquelles son mari occupe une position assimilable à un employeur avant son inscription au chômage, de sorte qu’elle ne peut se prévaloir d’une rupture totale des liens qu’elle entretenait avec celles-ci pour se voir reconnaître le droit à l’indemnité de chômage (cf. consid. 4d supra). 6. a) En définitive, le recours, mal fondé, doit être rejeté et la décision sur opposition attaquée confirmée. b) Il n’y a pas lieu de percevoir des frais judiciaires (art. 61 let. fbis LPGA), ni d’allouer de dépens à la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