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ZQ25.026662 vom 24. September 2025</w:t>
      </w:r>
    </w:p>
    <w:p>
      <w:r>
        <w:t>VD Tribunal cantonal, 2025-09-24, FR</w:t>
      </w:r>
    </w:p>
    <w:p>
      <w:r>
        <w:rPr>
          <w:b/>
        </w:rPr>
        <w:t xml:space="preserve">Quelle: </w:t>
      </w:r>
      <w:r>
        <w:t>https://mcp.opencaselaw.ch/entscheid/vd_gerichte_ZQ25.026662</w:t>
      </w:r>
    </w:p>
    <w:p>
      <w:r>
        <w:t>FR: VD_GERICHTE ZQ25.026662 du 24 septembre 2025</w:t>
      </w:r>
    </w:p>
    <w:p>
      <w:r>
        <w:t>IT: VD_GERICHTE ZQ25.026662 del 24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du recourant aux indemnités journalières de chômage durant trente et un jours, prononcée au motif qu’il aurait refusé de donner suite à une assignation de postuler à un emploi réputé convenable.</w:t>
      </w:r>
    </w:p>
    <w:p>
      <w:r>
        <w:t>- 6 -</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w:t>
      </w:r>
    </w:p>
    <w:p>
      <w:r>
        <w:t>- 7 - assignation à un travail réputé convenable (ATF 122 V 34 consid. 3b ; TF C 141/06 du 24 mai 2007 consid. 3 ; TF C 136/06 du 16 mai 2007 consid. 3 et les références citées). A cet égard, l’assignation doit être rédigée de manière à ce que le caractère officiel et obligatoire de l’injonction qu’elle contient ne puisse prêter à confusion (Boris Rubin, Assurance-chômage, Genève/Zurich 2025, p. 168).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TF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pp. 166 ss et les références citées). c)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w:t>
      </w:r>
    </w:p>
    <w:p>
      <w:r>
        <w:t>- 8 -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w:t>
      </w:r>
    </w:p>
    <w:p>
      <w:r>
        <w:rPr>
          <w:b/>
        </w:rPr>
        <w:t>E. 4</w:t>
      </w:r>
    </w:p>
    <w:p>
      <w:r>
        <w:t>En l’occurrence, il est reproché au recourant de n’avoir pas donné suite à l’assignation qu’il avait reçue le 28 août 2024. a) Quoi qu’en dise le recourant, le poste de cuisinier proposé devait indubitablement être qualifié de convenable, au regard de sa formation et de ses qualifications. En ne donnant pas suite à l’assignation transmise par sa conseillère en placement, le recourant s’est par conséquent rendu coupable d’une négligence grave, ce dont il ne disconvient pas véritablement. La question de savoir s’il disposait de connaissances suffisantes de la langue anglaise – tel que requis dans la description du poste – peut demeurer indécise, puisque, en pareilles circonstances, il appartient à la personne assurée de postuler et à l’employeur de décider en définitive si le candidat remplit ou non les exigences du poste. b) L’assignation mentionnait clairement l’obligation de postuler et les conséquences d’une abstention. L’assuré devait se rendre compte que seul un motif impérieux pouvait justifier une exception à l’obligation de postuler. Même si le recourant avait été fort occupé professionnellement au moment de recevoir l’assignation pour le poste de chef cuisinier auprès de G.________, il lui appartenait de s’organiser de manière à s’assurer de l’envoi de son dossier de candidature, conformément aux modalités figurant dans la proposition d’emploi, le délai de postulation étant en l’occurrence très court. En tout état de</w:t>
      </w:r>
    </w:p>
    <w:p>
      <w:r>
        <w:t>- 9 - cause, il convient de relever que l’assignation transmise le 28 août 2024 contenait la mention des sanctions encourues en cas de non-postulation, de sorte que le recourant a consciemment pris le risque d’être sanctionné au cas où il ne transmettrait pas dans le délai imparti un dossier de candidature complet. c) Compte tenu de ce qui précède, le recourant a laissé échapper une possibilité concrète de retrouver un emploi convenable. Conformément à la jurisprudence susmentionnée (cf. considérant 3b supra), un tel comportement est assimilable à un refus d’emploi et entraîne une suspension du droit à l’indemnité de chômage (art. 30 al. 1 let. d LACI).</w:t>
      </w:r>
    </w:p>
    <w:p>
      <w:r>
        <w:rPr>
          <w:b/>
        </w:rPr>
        <w:t>E. 5</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8C_767/2017 du 31 octobre 2018 consid. 4.3 ; cf. également Rubin, op. cit., p. 178). b) Conformément à l’art. 45 al. 4 OACI, il y a faute grave lorsque, sans motif valable, l’assuré abandonne un emploi réputé</w:t>
      </w:r>
    </w:p>
    <w:p>
      <w:r>
        <w:t>- 10 - convenable sans être assuré d’obtenir un nouvel emploi (let. a) ou qu’il refuse un emploi réputé convenable (let. b).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consid. 3.5 ; TF 8C_283/2021 du 15 août 2021 consid. 3.2).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(TF 8C_283/2021 précité consid. 3.2).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w:t>
      </w:r>
    </w:p>
    <w:p>
      <w:r>
        <w:rPr>
          <w:b/>
        </w:rPr>
        <w:t>E. 6</w:t>
      </w:r>
    </w:p>
    <w:p>
      <w:r>
        <w:t>a) En l’espèce, la durée de suspension, fixée à trente et un jours (en tenant compte du fait que le salaire refusé s’élevait à 4'957 fr.), correspond au minimum prévu par la loi en cas de faute grave. Il n’y a pas lieu de retenir de circonstances atténuantes pouvant légitimer une réduction de la durée de suspension, étant précisé que les motifs de s’écarter de la faute grave doivent être admis restrictivement. S’il n’est</w:t>
      </w:r>
    </w:p>
    <w:p>
      <w:r>
        <w:t>- 11 - pas contestable que le recourant faisait face à une période intense sur le plan professionnel au moment où il a reçu l’assignation, son omission n’est néanmoins pas excusable, car la personne assurée qui veut bénéficier des prestations de l’assurance-chômage est tenue, dans le cadre de son obligation de réduire le dommage, de faire tout ce qui est nécessaire pour éviter ou raccourcir son chômage. Parmi les obligations qui lui incombent, il y a celle de répondre dans le délai fixé aux assignations qui lui sont adressées. b) Pour le surplus, les griefs – mal fondés – précédemment examinés (cf. considérants 4a et 4b supra) ne sont pas de nature à atténuer le degré de la faute commise. Il en va ainsi notamment de l’argument de l’assuré tendant à faire admettre que son profil ne correspondrait pas aux exigences du poste assigné, étant rappelé par ailleurs que, selon la jurisprudence, les faibles chances d’obtenir un poste ne constituent pas un motif valable (TF 8C_313/2021 du 3 août 2021 consid. 5.3 et la référence citée). Par ailleurs, le fait que le recourant a satisfait à ses obligations de demandeur d’emploi ne permet pas de renoncer à la sanction ni d’en tenir compte dans la fixation de sa quotité, puisque toute personne au chômage a l’obligation de répondre à une assignation de l’ORP dans le délai imparti et que tout refus d’emploi convenable ultérieur doit dans tous les cas être sanctionné (cf. considérant 3c supra). L’absence de candidature a pour corollaire que l’objet de la sanction infligée réside dans le fait que le recourant s’est accommodé du risque que l’emploi qui lui avait été assigné soit occupé par quelqu’un d’autre. Etant donné que le recourant n’avance aucune circonstance particulière, tant objective que subjective, qui permettrait de qualifier sa faute de moyenne ou de légère, il n’y a aucun motif susceptible de justifier une sanction inférieure au minimum de trente et jours prévu en cas de faute grave. c) Sur le vu de ce qui précède, il y a lieu de constater que, au vu des circonstances concrètes du cas d’espèce, la sanction de trente et un jours de suspension prononcée par l’intimée ne prête pas le flanc à la critique, si bien qu’elle doit être confirmée.</w:t>
      </w:r>
    </w:p>
    <w:p>
      <w:r>
        <w:t>- 12 -</w:t>
      </w:r>
    </w:p>
    <w:p>
      <w:r>
        <w:rPr>
          <w:b/>
        </w:rPr>
        <w:t>E. 7</w:t>
      </w:r>
    </w:p>
    <w:p>
      <w:r>
        <w:t>a) En définitive, le recours, mal fondé, doit être rejeté et la décision sur opposition attaquée confirmée. b) Il n’y a pas lieu de percevoir de frais judiciaires (art. 61 let. fbis LPGA), ni d’allouer de dépens à la partie recourante qui n’obtient pas gain de cause et a procédé sans le concours d’un mandataire qualifié (art. 61 let. g LPGA ; ATF 127 V 205 consid. 4b). Par ces motifs, le juge unique p r o n o n c e : I. Le recours est rejeté. II. La décision sur opposition rendue le 7 mai 2025 par la Direction générale de l’emploi et du marché du travail est confirmée. III. Il n’est pas perçu de frais judiciaires, ni alloué de dépens. Le juge unique : Le greffier :</w:t>
      </w:r>
    </w:p>
    <w:p>
      <w:r>
        <w:t>- 13 - Du L'arrêt qui précède est notifié à : - M.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