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ZQ25.023726 vom 19. September 2025</w:t>
      </w:r>
    </w:p>
    <w:p>
      <w:r>
        <w:t>VD Tribunal cantonal, 2025-09-19, FR</w:t>
      </w:r>
    </w:p>
    <w:p>
      <w:r>
        <w:rPr>
          <w:b/>
        </w:rPr>
        <w:t xml:space="preserve">Quelle: </w:t>
      </w:r>
      <w:r>
        <w:t>https://mcp.opencaselaw.ch/entscheid/vd_gerichte_ZQ25.023726</w:t>
      </w:r>
    </w:p>
    <w:p>
      <w:r>
        <w:t>FR: VD_GERICHTE ZQ25.023726 du 19 septembre 2025</w:t>
      </w:r>
    </w:p>
    <w:p>
      <w:r>
        <w:t>IT: VD_GERICHTE ZQ25.023726 del 19 settembre 2025</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w:t>
      </w:r>
    </w:p>
    <w:p>
      <w:r>
        <w:t>- 4 -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Le litige porte sur la recevabilité de l’opposition formée par le recourant le 31 janvier 2025 contre la décision rendue par l’intimée le 9 décembre 2024.</w:t>
      </w:r>
    </w:p>
    <w:p>
      <w:r>
        <w:rPr>
          <w:b/>
        </w:rPr>
        <w:t>E. 3</w:t>
      </w:r>
    </w:p>
    <w:p>
      <w:r>
        <w:t>a) Selon l’art. 52 al. 1 LPGA, les décisions peuvent être attaquées dans les trente jours par voie d’opposition auprès de l’assureur qui les a rendues, à l’exception des décisions d’ordonnancement de la procédure. b) Se fondant sur la délégation de compétence prévue à l’art. 81 LPGA, le Conseil fédéral a édicté les art. 10 à 12 OPGA relatifs à la forme et au contenu de l’opposition ainsi qu’à la procédure d’opposition. L’art. 10 al. 1 OPGA prévoit que l’opposition doit contenir des conclusions et être motivée. L’opposition qui a pour objet une prestation ou la restitution d’une prestation fondées sur la LACI doit être formée par écrit (art. 10 al. 2 let. a OPGA). L’opposition écrite doit être signée par l’opposant ou par son représentant légal (art. 10 al. 4 OPGA). Si elle n’est pas signée, l’assureur impartit un délai convenable pour réparer le vice, avec l’avertissement qu’à défaut, l’opposition ne sera pas recevable (art. 10 al. 5 OPGA).</w:t>
      </w:r>
    </w:p>
    <w:p>
      <w:r>
        <w:t>- 5 - Selon la jurisprudence l’art. 10 al. 5 OPGA doit être compris comme ayant la même portée que l’art. 61 let. b 2ème phrase LPGA et la jurisprudence rendue à propos de celui-ci s’applique à la procédure d’opposition (Elodie Skoulikas/Valérie Défago Gaudin, in Dupont/Moser- Szeless [édit.], Loi sur la partie générale des assurances sociales, Commentaire romand, Bâle 2025, no 20 ad art. 52 LPGA). Un délai permettant à l’intéressé de rectifier son mémoire de recours doit être fixé non seulement si les conclusions ou les motifs manquent de clarté, mais, d’une manière générale, dans tous les cas où le recours ne répond pas aux exigences légales. Il s’agit là d’une prescription formelle, qui oblige le juge de première instance à fixer un délai pour corriger les imperfections du mémoire de recours, excepté dans les cas d’abus de droit manifeste (ATF 107 V 244 consid. 2 in fine ; TF I 25/06 du 27 mars 2007 consid. 4.2 et les références citées). c) Quand bien même le principe inquisitoire dispense les parties de l'obligation de prouver, il ne les libère pas entièrement du fardeau de la preuve ; en cas d'absence de preuve, c'est à la partie qui voulait déduire un droit du fait non prouvé d'en supporter les conséquences, sauf si l'impossibilité de prouver ledit fait peut être imputée à la partie adverse, circonstance qui entraîne un renversement du fardeau de la preuve (ATF 139 V 176, consid. 5.2 ; ATF 138 V 218, consid.</w:t>
      </w:r>
    </w:p>
    <w:p>
      <w:r>
        <w:rPr>
          <w:b/>
        </w:rPr>
        <w:t>E. 6</w:t>
      </w:r>
    </w:p>
    <w:p>
      <w:r>
        <w:t>a) En définitive, le recours, mal fondé, doit être rejeté et la décision sur opposition attaquée confirmée. b) Il n’y a pas lieu de percevoir de frais judiciaires, ni d’allouer de dépens au recourant qui n’obtient pas gain de cause (art. 61 let. g LPGA).</w:t>
      </w:r>
    </w:p>
    <w:p>
      <w:r>
        <w:t>- 8 - Par ces motifs, la juge unique p r o n o n c e : I. Le recours est rejeté. II. La décision sur opposition rendue le 23 avril 2025 par la Direction générale de l'emploi et du marché du travail est confirmée. III. Il n’est pas perçu de frais judiciaires, ni alloué de dépens. La juge unique : Le greffier : Du L'arrêt qui précède est notifié à : - P.________, - Direction générale de l'emploi et du marché du travail, - Secrétariat d'Etat à l'économie, par l'envoi de photocopies.</w:t>
      </w:r>
    </w:p>
    <w:p>
      <w:r>
        <w:t>- 9 -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