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ZQ25.015895 vom 29. September 2025</w:t>
      </w:r>
    </w:p>
    <w:p>
      <w:r>
        <w:t>VD Tribunal cantonal, 2025-09-29, FR</w:t>
      </w:r>
    </w:p>
    <w:p>
      <w:r>
        <w:rPr>
          <w:b/>
        </w:rPr>
        <w:t xml:space="preserve">Quelle: </w:t>
      </w:r>
      <w:r>
        <w:t>https://mcp.opencaselaw.ch/entscheid/vd_gerichte_ZQ25.015895</w:t>
      </w:r>
    </w:p>
    <w:p>
      <w:r>
        <w:t>FR: VD_GERICHTE ZQ25.015895 du 29 septembre 2025</w:t>
      </w:r>
    </w:p>
    <w:p>
      <w:r>
        <w:t>IT: VD_GERICHTE ZQ25.015895 del 29 settembre 2025</w:t>
      </w:r>
    </w:p>
    <w:p>
      <w:pPr>
        <w:pStyle w:val="Heading2"/>
      </w:pPr>
      <w:r>
        <w:t>Erwägungen</w:t>
      </w:r>
    </w:p>
    <w:p>
      <w:r>
        <w:rPr>
          <w:b/>
        </w:rPr>
        <w:t>E. 1</w:t>
      </w:r>
    </w:p>
    <w:p>
      <w:r>
        <w:t>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du recourant à l’indemnité de chômage pour une durée de 31 jours en raison d’une situation de chômage fautif.</w:t>
      </w:r>
    </w:p>
    <w:p>
      <w:r>
        <w:rPr>
          <w:b/>
        </w:rPr>
        <w:t>E. 3</w:t>
      </w:r>
    </w:p>
    <w:p>
      <w:r>
        <w:t>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du droit à l’indemnité est destinée à poser une limite à l’obligation de l’assurance-chômage d’allouer des prestations pour des dommages que l’assuré aurait pu éviter ou réduire. En tant que</w:t>
      </w:r>
    </w:p>
    <w:p>
      <w:r>
        <w:t>- 6 - sanction administrative, elle a pour but de faire répondre l’assuré, d’une manière appropriée, du préjudice causé à l’assurance-chômage par son comportement fautif (ATF 133 V 89 consid. 6.1.1 ; ATF 126 V 130 consid. 1 ; TF 8C_40/2016 du 21 avril 2016 consid. 2.3). b)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Boris Rubin, Commentaire de la loi sur l’assurance-chômage, Genève/Zurich/Bâle 2014, n° 33 ss ad art. 30 LACI). c) Il y a lieu d’admettre de façon restrictive les circonstances pouvant justifier l’abandon d’un emploi (ATF 124 V 234 consid. 4b et les références). Des désaccords sur le montant du salaire ou un rapport tendu avec des supérieurs ou des collègues de travail ne suffisent pas à justifier l’abandon d’un emploi. Dans ces circonstances, on doit, au contraire, attendre de la personne assurée qu’elle fasse l’effort de garder sa place jusqu’à ce qu’elle ait trouvé un autre emploi. En revanche, on ne saurait en règle générale exiger d’elle qu’elle conserve son emploi, lorsque les manquements de l’employeur à ses obligations contractuelles atteignent un degré de gravité justifiant une résiliation immédiate (TF 8C_510/2017 du 22 février 2018 consid. 3.1 et les références), au sens de l’art. 337 CO (code des obligations du 30 mars 1911 ; RS 220). d) L’exigibilité de la continuation des rapports de travail est examinée encore plus sévèrement que le caractère convenable d’un emploi au sens de l’art. 16 LACI (ATF 124 V 234 consid. 4b/bb ; TF</w:t>
      </w:r>
    </w:p>
    <w:p>
      <w:r>
        <w:t>- 7 - 8C_1021/2012 du 10 mai 2013 consid. 2.2). Les conditions fixées par l’art. 16 LACI n’en constituent pas moins des éléments d’appréciation importants du critère d’exigibilité, notamment s'agissant de la situation personnelle protégée par l’alinéa 2 lettre c de cette disposition, soit l’âge, la situation personnelle, la santé (Rubin, op. cit., no 37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(Rubin, op. cit., n° 37 ad art. 16 LACI). Il lui appartient d’établir, au moyen d’un certificat médical clair ou d’autres moyens de preuve appropriés, que la continuation des rapports de travail était de nature à mettre sa santé en danger (ATF 124 V 234 consid. 4b/bb ; TF 8C_513/2018 du 7 novembre 2018 consid. 2.2 ; TF 8C_107/2018 du 7 août 2018 consid. 5 et les références). Pour avoir force probante, le certificat médical ne doit en principe pas avoir été établi trop longtemps après la survenance de l’empêchement (Rubin, op. cit., n° 37 ad art. 16 LACI). La compatibilité d’un emploi avec l’état de santé s'apprécie non pas par rapport à ce que pourrait ressentir un assuré mais sur la base de certificats médicaux (TFA C 151/03 du 3 octobre 2003 consid. 2.3.2 et la référence citée).</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t>- 8 -</w:t>
      </w:r>
    </w:p>
    <w:p>
      <w:r>
        <w:rPr>
          <w:b/>
        </w:rPr>
        <w:t>E. 5</w:t>
      </w:r>
    </w:p>
    <w:p>
      <w:r>
        <w:t>En l’espèce, le recourant a résilié de sa propre initiative les rapports de travail qui le liaient à Y.________ sans s’être assuré d’avoir un autre emploi, ce qui l’a contraint à faire appel à l’assurance-chômage. Il convient dès lors d’examiner s’il peut se prévaloir de motifs qui rendaient la continuation des rapports de travail au sein de cet employeur inexigible. Le recourant a indiqué dans un premier temps qu’il avait résilié le contrat de travail en raison d’une situation de « bore out / manque de travail ». A la suite d’une demande de précisions de l’intimée, il a expliqué, le 22 juillet 2024, qu’il avait donné son congé pour des raisons de santé, précisant que son poste de travail n’avait aucun intérêt, qu’il avait très peu de mails et d’appels et que les journées étaient interminables. Il a aussi exposé que le climat de travail était malsain, avec une très mauvaise ambiance, ajoutant que la directrice lui hurlait dessus sans raison et lui parlait mal. Si les explications données par le recourant reflètent un important mal-être à son poste de travail lié à un environnement de travail jugé peu valorisant, ils ne permettent pas de retenir que la situation dans laquelle il se trouvait avait atteint un degré de gravité telle qu’elle justifiait une rupture immédiate des rapports de travail, étant observé que le prénommé n’a fourni aucun élément probant à l’appui de ses griefs concernant l’ambiance de travail et le comportement de la directrice à son égard. Par ailleurs, les certificats médicaux versés au dossier ne permettent pas non plus de conclure que le recourant se trouvait, pour des raisons médicales, dans la nécessité de démissionner avant d’avoir trouvé un nouvel emploi. Les certificats du Dr L.________ ont été établis a posteriori, plus de cinq mois après la démission du recourant, ce qui en affecte leur valeur probante. Ils sont par ailleurs dépourvus de constatations cliniques permettant d’établir que le recourant aurait présenté un état dépressif réactionnel et un burnout à partir de mars-avril 2024, comme indiqué le 25 octobre 2024 par le Dr L.________, ni permettant d’expliquer en quoi l’état de santé du recourant aurait rendu</w:t>
      </w:r>
    </w:p>
    <w:p>
      <w:r>
        <w:t>- 9 - nécessaire sa démission d’un point de vue médical. Au demeurant, le médecin traitant n’a attesté aucune incapacité de travail, ni recommandé au recourant de démissionner, le Dr L.________ déclarant simplement comprendre les motivations de la décision de son patient. Pour le surplus, les autres arguments avancés par le recourant ne permettent pas d’apprécier la situation différemment, étant précisé que la durée de son chômage et le fait de n’avoir jamais bénéficié de l’assurance-chômage auparavant ne sont pas des éléments déterminants pour l’examen de la question litigieuse qui est de savoir s’il peut se prévaloir de motifs qui rendaient inexigible la continuation des rapports de travail au sein de son précédent employeur. En définitive, le recourant ne rend pas vraisemblable que la poursuite de son activité auprès de son précédent employeur n’était raisonnablement pas exigible, de sorte que les conditions relatives au chômage fautif sont réalisées et qu’une sanction au sens de l’art. 30 al. 1 let. a LACI est justifiée.</w:t>
      </w:r>
    </w:p>
    <w:p>
      <w:r>
        <w:rPr>
          <w:b/>
        </w:rPr>
        <w:t>E. 6</w:t>
      </w:r>
    </w:p>
    <w:p>
      <w:r>
        <w:t>a) Si la sanction de suspension prononcée à l’encontre du recourant est – dans son principe – justifiée, il reste encore à en examiner la quotité, laquelle a été fixée à 31 jours par l’intimée.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 Un motif valable peut être lié à la situation subjective</w:t>
      </w:r>
    </w:p>
    <w:p>
      <w:r>
        <w:t>- 10 - de la personne concernée ou à des circonstances objectives (ATF 130 V 125 consid. 3.5 ; TF 8C_313/2021 du 3 août 2021 consid. 4.2).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c) Comme vu plus haut, l’abandon d’emploi est constitutif d’une faute grave en vertu de l’art. 45 al. 4 let. a OACI. La durée de la suspension de 31 jours, qui correspond à la durée minimale prévue par l’art. 45 al. 3 let. c OACI pour sanctionner une faute grave, apparaît adéquate dans le cas d’espèce, en l’absence de motif particulier permettant de s’écarter du cadre légal.</w:t>
      </w:r>
    </w:p>
    <w:p>
      <w:r>
        <w:rPr>
          <w:b/>
        </w:rPr>
        <w:t>E. 7</w:t>
      </w:r>
    </w:p>
    <w:p>
      <w:r>
        <w:t>En définitive, le recours, mal fondé, doit être rejeté et la décision sur opposition entreprise confirmée. Il n’y a pas lieu de percevoir de frais judiciaires (art. 61 let. f bis LPGA), ni d’allouer de dépens au recourant, qui n’obtient pas gain de cause (art. 61 let. g LPGA). Par ces motifs, la juge unique p r o n o n c e : I. Le recours est rejeté.</w:t>
      </w:r>
    </w:p>
    <w:p>
      <w:r>
        <w:t>- 11 - II. La décision sur opposition rendue le 5 mars 2025 par I.________ est confirmée. III. Il n’est pas perçu de frais judiciaires, ni alloué de dépens. La juge unique : La greffière : Du L'arrêt qui précède est notifié à : - J.________, - I.________,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