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ZQ25.011456 vom 14. Oktober 2025</w:t>
      </w:r>
    </w:p>
    <w:p>
      <w:r>
        <w:t>VD Tribunal cantonal, 2025-10-14, FR</w:t>
      </w:r>
    </w:p>
    <w:p>
      <w:r>
        <w:rPr>
          <w:b/>
        </w:rPr>
        <w:t xml:space="preserve">Quelle: </w:t>
      </w:r>
      <w:r>
        <w:t>https://mcp.opencaselaw.ch/entscheid/vd_gerichte_ZQ25.011456</w:t>
      </w:r>
    </w:p>
    <w:p>
      <w:r>
        <w:t>FR: VD_GERICHTE ZQ25.011456 du 14 octobre 2025</w:t>
      </w:r>
    </w:p>
    <w:p>
      <w:r>
        <w:t>IT: VD_GERICHTE ZQ25.011456 del 14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du recourant aux indemnités journalières de chômage durant vingt jours, prononcée au motif qu’il aurait refusé de donner suite à une assignation pour un emploi convenable.</w:t>
      </w:r>
    </w:p>
    <w:p>
      <w:r>
        <w:t>- 7 -</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w:t>
      </w:r>
    </w:p>
    <w:p>
      <w:r>
        <w:t>- 8 - 141/06 du 24 mai 2007 consid. 3 ; TF C 136/06 du 16 mai 2007 consid. 3 et les références citées). A cet égard, l’assignation doit être rédigée de manière à ce que le caractère officiel et obligatoire de l’injonction qu’elle contient ne puisse prêter à confusion (Boris Rubin, Assurance-chômage, Genève/Zurich 2025, p. 168).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TF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pp. 166 ss et les références citées). c) La notion de travail convenable est définie a contrario à l’art. 16 al. 2 LACI. N’est notamment pas réputé convenable tout travail qui : - n’est pas conforme aux usages professionnels et locaux et, en particulier, ne satisfait pas aux conditions des conventions collectives ou des contrats-type de travail (let. a) ; - ne tient pas raisonnablement compte des aptitudes de l’assuré ou de l’activité qu’il a précédemment exercée (let. b) ;</w:t>
      </w:r>
    </w:p>
    <w:p>
      <w:r>
        <w:t>- 9 - - ne convient pas à l’âge, à la situation personnelle ou à l’état de santé de l’assuré (let. c) ; - compromet dans une notable mesure le retour de l’assuré dans sa profession, pour autant qu’une telle perspective existe dans un délai raisonnable (let d) ; - doit être accompli dans une entreprise où le cours ordinaire du travail est perturbé en raison d’un conflit collectif de travail (let. e) ;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 exige du travailleur une disponibilité sur appel constante dépassant le cadre de l’occupation garantie (let. g) ; - doit être exécuté dans une entreprise qui a procédé à des licenciements aux fins de réengagement ou à de nouveaux engagements à des conditions nettement plus précaires (let. h), ou - procure à l’assuré une rémunération inférieure à 70 % du gain assuré, sauf s’il touche des indemnités compensatoires conformément à l’art. 24 LACI (gain intermédiaire ; let. i, première phrase). Seuls les emplois ne répondant pas aux critères d’admissibilité mentionnés à l’art. 16 al. 2 LACI peuvent être refusés sans qu’il puisse y avoir de sanction (ATF 124 V 62 consid. 3b et les références citées).</w:t>
      </w:r>
    </w:p>
    <w:p>
      <w:r>
        <w:rPr>
          <w:b/>
        </w:rPr>
        <w:t>E. 4</w:t>
      </w:r>
    </w:p>
    <w:p>
      <w:r>
        <w:t>En l’espèce, il est reproché au recourant de n’avoir pas donné suite à l’assignation auprès de J.________ qu’il avait reçue le 18 juillet 2024.</w:t>
      </w:r>
    </w:p>
    <w:p>
      <w:r>
        <w:t>- 10 - a) Force est d’emblée de constater que le recourant ne conteste pas le caractère convenable de l’emploi de serveur auquel il a été assigné. Cet emploi se situait en effet dans le même domaine d’activité que celui exercé antérieurement par l’assuré, à savoir la restauration, et correspondait à ses aptitudes professionnelles. Il respectait en outre les usages de la branche et offrait des conditions conformes aux exigences de l’art. 16 LACI. Il y a donc lieu d’admettre que le poste en question pouvait être qualifié de travail convenable au sens de cette disposition. b) Il convient dès lors d’examiner si le recourant a effectivement donné suite à cette assignation conformément aux instructions de l’ORP. Dans son opposition du 5 décembre 2024, le recourant a d’abord soutenu avoir adressé sa candidature par courrier électronique le 19 juillet 2024 et avoir, lors de ses contacts téléphoniques avec le responsable, été informé qu’il était jugé trop qualifié et trop axé sur le vin. Il a en outre indiqué, dans sa feuille de recherches d’emploi, avoir postulé le 16 juillet 2024, soit avant la date d’assignation, et avoir essuyé un refus au motif que l’effectif était complet. Dans le cadre du recours, le recourant a toutefois modifié sa version des faits, admettant s’être trompé et précisant qu’il n’avait pas envoyé de candidature écrite, mais seulement appelé l’employeur, lequel lui aurait indiqué que l’annonce n’était plus valable. Ces déclarations, manifestement contradictoires, ne permettent pas de se fonder sur la seule parole du recourant pour établir les faits. Il a en outre invoqué les mêmes arguments dans le cadre de son opposition relative à l’assignation auprès de l’établissement [...]. Elles devraient, pour être retenues, être confirmées par d’autres éléments objectifs, ce qui n’est pas le cas en l’espèce. Le recourant n’a pas démontré avoir postulé par courrier électronique et ne le prétend d’ailleurs plus. Or, l’assignation précisait expressément que la candidature devait être transmise par courriel, et qu’un manquement à cette instruction –</w:t>
      </w:r>
    </w:p>
    <w:p>
      <w:r>
        <w:t>- 11 - notamment l’absence de dossier complet ou l’usage d’un autre moyen de postulation – exposait l’assuré à une sanction. Il est dès lors établi que le recourant n’a pas respecté les injonctions de l’ORP en omettant de déposer sa candidature selon les modalités prescrites. c) Pour qu’une sanction soit prononcée, encore faut-il qu’il existe un lien de causalité entre le comportement reproché à l’assuré et la non-conclusion du contrat de travail. À cet égard, le recourant soutient que l’offre n’était plus valable lorsqu’il a contacté l’employeur. Toutefois, il n’a pas rendu vraisemblable l’exactitude de cette allégation. Il a uniquement prouvé avoir eu un échange téléphonique d’une durée de 54 secondes le 19 juillet 2024, sans qu’il soit possible d’en établir le contenu, ses déclarations ayant varié à plusieurs reprises à ce sujet. Dans un premier temps, il avait indiqué que son interlocuteur avait examiné sa postulation et l’avait jugé surqualifié, avant de soutenir dans son recours que l’offre n’était simplement plus valable. Une audition de l’interlocuteur concerné, près d’une année après les faits, ne permettrait vraisemblablement pas d’éclaircir la situation, celle-ci reposant sur un bref échange téléphonique dont il est peu probable que l’auteur se souvienne et le recourant lui- même reconnaissant s’être « emmêlé les pinceaux » dans ses souvenirs. A noter que le recourant a également fait valoir que le responsable du restaurant P.________ lui avait répondu que la demande d’emploi avait été retirée, lors de son appel téléphonique. Faute d’indices crédibles établissant que l’offre d’emploi avait effectivement été retirée, il ne saurait être retenu que celle-ci n’était plus valable. Le lien de causalité entre l’absence de postulation écrite et la non- conclusion d’un contrat de travail demeure ainsi réalisé. d) Compte tenu de ce qui précède, le recourant a manqué une possibilité concrète de reprendre un emploi convenable. Conformément à la jurisprudence susmentionnée (cf. considérant 3b supra), un tel comportement est assimilable à un refus d’emploi convenable au sens de</w:t>
      </w:r>
    </w:p>
    <w:p>
      <w:r>
        <w:t>- 12 - l’art. 30 al. 1 let. d LACI et justifie une suspension du droit à l’indemnité de chômage.</w:t>
      </w:r>
    </w:p>
    <w:p>
      <w:r>
        <w:rPr>
          <w:b/>
        </w:rPr>
        <w:t>E. 5</w:t>
      </w:r>
    </w:p>
    <w:p>
      <w:r>
        <w:t>Le refus d’un emploi convenable étant établi, il reste à examiner la gravité de la faute commise et la durée de la suspension. a)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 cf. également Rubin, op. cit., p. 178). D’après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w:t>
      </w:r>
    </w:p>
    <w:p>
      <w:r>
        <w:t>- 13 - l’assurance-chômage (TF 8C_750/2021 du 20 mai 2022 consid. 3.2 et les références citées).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8C_283/2021 du 15 août 2021 consid. 3.2).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(TF 8C_283/2021 précité consid. 3.2). b) En l’occurrence, l’intimée a qualifié le comportement du recourant de faute moyenne au sens de l’art. 45 al. 3 let. b OACI. Dans sa décision initiale, elle a fixé la durée de la suspension à trente jours, à savoir la quotité maximale prévue pour une telle faute. Lors de la décision sur opposition, elle a toutefois ramené la suspension à vingt jours, correspondant à la durée minimale applicable en cas de faute moyenne selon l’art. 45 al. 3 let. b OACI et le barème du SECO (Directive LACI IC, D79/2.A) pour un premier refus d’un emploi convenable d’une durée de deux mois. Elle a ainsi tenu compte de l’annulation de la sanction prononcée pour l’assignation auprès du restaurant P.________. Le recourant n’a invoqué aucune circonstance particulière, qu’elle soit objective ou subjective, de nature à atténuer sa responsabilité et à justifier une réduction supplémentaire de la sanction. Dans ces conditions, la durée de vingt jours retenue par l’intimée apparaît conforme tant aux directives administratives qu’à la</w:t>
      </w:r>
    </w:p>
    <w:p>
      <w:r>
        <w:t>- 14 - pratique constante en la matière. La Cour n’a dès lors aucun motif de s’écarter de cette appréciation et la sanction doit être confirmée dans sa quotité.</w:t>
      </w:r>
    </w:p>
    <w:p>
      <w:r>
        <w:rPr>
          <w:b/>
        </w:rPr>
        <w:t>E. 6</w:t>
      </w:r>
    </w:p>
    <w:p>
      <w:r>
        <w:t>a) Il s’ensuit que le recours, mal fondé, doit être rejeté et la décision attaquée confirmée. b) Il n’y a pas lieu de percevoir de frais judiciaires (art. 61 let. fbis LPGA), ni d’allouer de dépens à la partie recourante, qui n’obtient pas gain de cause (art. 61 let. g a contrario LPGA). Par ces motifs, la juge unique p r o n o n c e : I. Le recours est rejeté. II. La décision sur opposition rendue le 5 février 2025 par la Direction générale de l’emploi et du marché du travail est confirmée. III. Il n’est pas perçu de frais judiciaires, ni alloué de dépens. La juge unique : La greffière : Du L'arrêt qui précède est notifié à : - Me Ndumba Luzayisso (pour R.________) - Direction générale de l'emploi et du marché du travail, - Secrétariat d’Etat à l’économie,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