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ZQ25.007271 vom 10. November 2025</w:t>
      </w:r>
    </w:p>
    <w:p>
      <w:r>
        <w:t>VD Tribunal cantonal, 2025-11-10, FR</w:t>
      </w:r>
    </w:p>
    <w:p>
      <w:r>
        <w:rPr>
          <w:b/>
        </w:rPr>
        <w:t xml:space="preserve">Quelle: </w:t>
      </w:r>
      <w:r>
        <w:t>https://mcp.opencaselaw.ch/entscheid/vd_gerichte_ZQ25.007271</w:t>
      </w:r>
    </w:p>
    <w:p>
      <w:r>
        <w:t>FR: VD_GERICHTE ZQ25.007271 du 10 novembre 2025</w:t>
      </w:r>
    </w:p>
    <w:p>
      <w:r>
        <w:t>IT: VD_GERICHTE ZQ25.007271 del 10 novembre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w:t>
      </w:r>
    </w:p>
    <w:p>
      <w:r>
        <w:rPr>
          <w:b/>
        </w:rPr>
        <w:t>E. 2</w:t>
      </w:r>
    </w:p>
    <w:p>
      <w:r>
        <w:t>Le litige porte sur le bien-fondé de la suspension du droit du recourant à l’indemnité de chômage pour une durée de neuf jours, en raison de recherches d’emploi insuffisantes, respectivement de l’absence de recherches, au cours des trois mois ayant précédé l’ouverture de son droit à l’indemnité de chômage.</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font valoir des prestations de l’assurance- chômage doivent se comporter comme si cette assurance n’existait pas (Boris Rubin, Assurance-chômage – Manuel à l’usage des praticiens, Genève/Zurich 2025, p. 145).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L’art. 26 al. 1 OACI prévoit que l’assuré doit cibler ses recherches d’emploi, en règle générale selon les méthodes de postulation ordinaires. Les méthodes de postulation doivent être adaptées aux spécificités des activités recherchées. Une méthode particulière, telle que l’activation de réseau, ne cadre pas avec les exigences de preuve de l’art. 26 al. 1 OACI, sans pour autant être de nature à remettre en cause l’aptitude au placement (TF 8C_761/2009 du 23 décembre 2009 consid. 3.3 ; Boris Rubin, Commentaire de la loi sur l’assurance-chômage, Genève/Zurich/Bâle 2014, n° 26 ad art. 17 LACI).</w:t>
      </w:r>
    </w:p>
    <w:p>
      <w:r>
        <w:t>- 6 -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À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On est par ailleurs en droit d’attendre des assurés une intensification croissante de leurs recherches à mesure que l’échéance du chômage se rapproche (ATF 139 V 524 consid. 2.1.2 ; TF 8C_406/2020 du 28 avril 2021 consid. 4.2 et les références citées). c) Pour trancher le point de savoir si l’assuré a consenti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8C_744/2019 du 26 août 2020 consid. 3.2), des recherches ciblées et bien présentées valant parfois mieux que des recherches nombreuses (TF 8C_737/2017 précité consid. 2.2 et les références). Sur le plan qualitatif, on peut attendre d'un assuré qu'il ne se contente pas de démarches par téléphone, mais qu'il réponde également à des offres d'emploi par écrit (cf. TFA C 6/05 du 6 mars 2006 consid. 3.2). Les démarches en vue de trouver un emploi doivent dénoter une certaine forme de zèle. Le fait de faire des offres d’emploi est certes de nature à écourter la durée du chômage. Encore faut-il, d’après l’esprit de la loi, que</w:t>
      </w:r>
    </w:p>
    <w:p>
      <w:r>
        <w:t>- 7 - les efforts en question soient sérieux, que les lettres de postulation captent l’attention des employeurs, qu’elles soient incitatives et lisibles, si elles sont manuscrites (Boris Rubin, Assurance-chômage, Droit fédéral, Survol des mesures cantonales, Procédure, 2e éd., Zurich/Bâle/Genève 2006, p. 392 et les références citées). d) La personne assurée doit apporter la preuve de ses recherches d’emploi et supporte les conséquences de l’absence de preuve. Le fait que des allégations relatives à la remise des justificatifs de recherches d’emploi ou à la date de celle-ci soient plausibles ne suffit pas à démontrer une remise effective, respectivement à temps, des justificatifs. Une preuve fondée sur des éléments matériels est nécessaire (ATF 145 V 90 consid. 3.2). e)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- 8 -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rPr>
          <w:b/>
        </w:rPr>
        <w:t>E. 5</w:t>
      </w:r>
    </w:p>
    <w:p>
      <w:r>
        <w:t>a) En l’espèce, il est constant que le recourant avait l’obligation de rechercher un emploi avant la date à laquelle il a revendiqué les indemnités de chômage, ce qu’il ne conteste pas dans son acte de recours. Dès lors que son dernier contrat de durée déterminée a pris fin le 21 juillet 2024 et qu’il a sollicité des indemnités de l’assurance- chômage dès le lendemain, cette obligation s’étendait du 22 avril 2024 au 21 juillet 2024. L’avis des parties diverge en revanche sur le point de savoir si les recherches d’emploi effectuées par le recourant durant cette période étaient suffisantes. b) Il ressort des formulaires « Preuves de recherches personnelles d’emploi » déposés les 2, 3 et 4 août 2024, que le recourant a effectué douze recherches d’emploi durant la période considérée, à savoir aucune en avril, cinq en mai, trois en juin et quatre en juillet. Ces douze postulations sont manifestement insuffisantes, tant sous l’angle de la pratique (cf. consid. 3c supra) que des objectifs de deux postulations par semaine – ou huit par mois – qui lui avaient été fixés par son conseiller en placement pour la période subséquente à son inscription. On relèvera que les offres d’emploi que le recourant allègue avoir effectuées entre avril et juillet 2024, en sus de celles déjà mentionnées dans les formulaires produits à l’attention de l’ORP, notamment auprès de divers bars et restaurants, ne sont pas susceptibles</w:t>
      </w:r>
    </w:p>
    <w:p>
      <w:r>
        <w:t>- 9 - d’être prises en compte. Le recourant n’a en effet pas été en mesure de prouver la remise effective de ces postulations à ses potentiels employeurs (cf. art. 17 al. 1, 3ème phrase, LACI), à défaut en particulier d’avoir remis les copies des lettres de postulations, les éventuelles réponses ou encore le timbre des entreprises sollicitées. Pour le reste, le recourant n’explique pas de manière convaincante les raisons pour lesquelles ces recherches d’emploi n’avaient pas été inscrites dans les formulaires idoines qu’il avait remis en son temps à l’ORP. D’un point de vue qualitatif, il n’apparaît pas que les recherches d’emploi de l’intéressé étaient particulièrement bien ciblées ou présentées, de sorte qu’elles ne démontrent pas un effort important consenti en vue de retrouver un travail qui aurait justifié un nombre moins important de postulations. On ne voit pas non plus qu’il faille tenir compte d’une quelconque spécificité dans la manière de procéder à des recherches d’emploi dans le domaine des arts vivants. Contrairement à ce que le recourant soutient, le recours au réseautage, aux discussions informelles ou au démarchage spontané ne constitue en rien une particularité du marché du travail dans le domaine artistique, s’agissant de méthodes de recherches d’emploi tout à fait communes dans de nombreux autres secteurs économiques, ni n’est de surcroît un motif susceptible de le dispenser d’apporter la preuve de ses recherches, comme le prévoit la loi. c) Au vu de ce qui précède, c’est à juste titre que l’intimée a retenu que les recherches d’emploi du recourant durant la période précédant le chômage étaient insuffisantes et qu’il n’a ainsi pas satisfait à son obligation de diminuer le dommage. Pour le surplus, le fait que l’intimée ait retenu, dans la décision sur opposition attaquée, une absence de recherches d’emploi durant la période considérée plutôt qu’un nombre de postulations insuffisant, n’a aucune influence sur l’issue du présent litige. L’intimée a en effet renoncé à revoir à la hausse la quotité de la sanction et a, au demeurant, confirmé la sanction fixée dans sa décision du 8 octobre 2024.</w:t>
      </w:r>
    </w:p>
    <w:p>
      <w:r>
        <w:t>- 10 -</w:t>
      </w:r>
    </w:p>
    <w:p>
      <w:r>
        <w:rPr>
          <w:b/>
        </w:rPr>
        <w:t>E. 6</w:t>
      </w:r>
    </w:p>
    <w:p>
      <w:r>
        <w:t>Une suspension étant justifiée dans son principe, il convient encore d’en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Secrétariat d’Etat à l’économie (SECO) a adopté un barème (indicatif) à l’intention des organes d’exécution (Bulletin LACI IC [indemnité de chômage],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citées). En cas de recherches d’emploi insuffisantes pendant un délai de congé de trois mois, le barème du SECO prévoit une suspension de neuf à douze jours (faute légère) (Bulletin LACI IC, valable dès le 1er juillet 2025, ch. D79 n°1.A). b) En l’espèce, la DGEM a retenu une faute légère et prononcé une suspension de neuf jours, dont la quotité se situe dans la fourchette basse du barème du SECO. L’intimée n’a pas abusé de son pouvoir d’appréciation et la sanction prononcée doit dès lors être confirmée.</w:t>
      </w:r>
    </w:p>
    <w:p>
      <w:r>
        <w:rPr>
          <w:b/>
        </w:rPr>
        <w:t>E. 7</w:t>
      </w:r>
    </w:p>
    <w:p>
      <w:r>
        <w:t>a) En définitive, le recours, mal fondé, doit être rejeté et la décision sur opposition litigieuse confirmée.</w:t>
      </w:r>
    </w:p>
    <w:p>
      <w:r>
        <w:t>- 11 - b) Il n’y a pas lieu de percevoir de frais judiciaires (art. 61 let. fbis LPGA), ni d’allouer de dépens à la partie recourante, qui n’obtient pas gain de cause (art. 61 let. g LPGA).</w:t>
      </w:r>
    </w:p>
    <w:p>
      <w:r>
        <w:t>- 12 - Par ces motifs, le juge unique p r o n o n c e : I. Le recours est rejeté. II. La décision sur opposition rendue le 20 janvier 2025 par la Direction générale de l'emploi et du marché du travail est confirmée. III. Il n’est pas perçu de frais judiciaires, ni alloué de dépens. Le juge unique : Le greffier : Du L'arrêt qui précède est notifié à : - J.________, - Direction générale de l'emploi et du marché du travail,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