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ZQ25.001036 vom 15. April 2025</w:t>
      </w:r>
    </w:p>
    <w:p>
      <w:r>
        <w:t>VD Tribunal cantonal, 2025-04-15, FR</w:t>
      </w:r>
    </w:p>
    <w:p>
      <w:r>
        <w:rPr>
          <w:b/>
        </w:rPr>
        <w:t xml:space="preserve">Quelle: </w:t>
      </w:r>
      <w:r>
        <w:t>https://mcp.opencaselaw.ch/entscheid/vd_gerichte_ZQ25.001036</w:t>
      </w:r>
    </w:p>
    <w:p>
      <w:r>
        <w:t>FR: VD_GERICHTE ZQ25.001036 du 15 avril 2025</w:t>
      </w:r>
    </w:p>
    <w:p>
      <w:r>
        <w:t>IT: VD_GERICHTE ZQ25.001036 del 15 aprile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w:t>
      </w:r>
    </w:p>
    <w:p>
      <w:r>
        <w:t>- 4 -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savoir si l’intimée était fondée à prononcer une suspension du droit à l’indemnité de chômage de la recourante pour une durée de 50 jours, au motif qu’elle s’était retrouvée sans travail par sa propre faute.</w:t>
      </w:r>
    </w:p>
    <w:p>
      <w:r>
        <w:rPr>
          <w:b/>
        </w:rPr>
        <w:t>E. 3</w:t>
      </w:r>
    </w:p>
    <w:p>
      <w:r>
        <w:t>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b) Selon l’art. 30 al. 1 let. a LACI, le droit de l’assuré à l’indemnité est suspendu lorsqu’il est établi que celui-ci est sans travail par sa propre faute. Tel est notamment le cas de l’employé qui a résilié lui-même le contrat de travail, sans avoir été préalablement assuré</w:t>
      </w:r>
    </w:p>
    <w:p>
      <w:r>
        <w:t>- 5 - d’obtenir un autre emploi, sauf s’il ne pouvait être exigé de lui qu’il conservât son ancien emploi (art. 44 al. 1 let. b OACI). c)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3c et 4b/aa ; Boris Rubin, Commentaire de la loi sur l’assurance-chômage, Genève/Zurich/Bâle 2014, n° 33 ss ad art. 30 LACI). d) Il y a lieu d’admettre de façon restrictive les circonstances pouvant justifier l’abandon d’un emploi (ATF 124 V 234 consid. 4b et les références). Des désaccords sur le montant du salaire ou un rapport tendu avec des supérieurs ou des collègues de travail ne suffisent pas à justifier l’abandon d’un emploi. Dans ces circonstances, on doit, au contraire, attendre de la personne assurée qu’elle fasse l’effort de garder sa place jusqu’à ce qu’elle ait trouvé un autre emploi. En revanche, on ne saurait en règle générale exiger d’elle qu’elle conserve son emploi, lorsque les manquements de l’employeur à ses obligations contractuelles atteignent un degré de gravité justifiant une résiliation immédiate (TF 8C_510/2017 du 22 février 2018 consid. 3.1 et les références), au sens de l’art. 337 CO (Code des obligations du 30 mars 1911 ; RS 220).</w:t>
      </w:r>
    </w:p>
    <w:p>
      <w:r>
        <w:rPr>
          <w:b/>
        </w:rPr>
        <w:t>E. 4</w:t>
      </w:r>
    </w:p>
    <w:p>
      <w:r>
        <w:t>En l’espèce, il n’est pas contesté que la recourante a résilié de sa propre initiative les rapports de travail qui la liaient à A.________. Il apparaît en outre qu’elle a quitté ce poste sans s’être assurée d’avoir un autre emploi susceptible de lui garantir un gain équivalent, ce qui l’a contrainte à faire appel à l’assurance-chômage à compter du 5 août 2024. La recourante n’a de surcroît pas fait valoir de motifs qui rendaient la</w:t>
      </w:r>
    </w:p>
    <w:p>
      <w:r>
        <w:t>- 6 - continuation des rapports de travail auprès de A.________ inexigible. Elle s’est dès lors retrouvée au chômage par sa propre faute, s’exposant ainsi à une sanction au sens de l’art. 30 al. 1 let. a LACI, ce qu’elle admet.</w:t>
      </w:r>
    </w:p>
    <w:p>
      <w:r>
        <w:rPr>
          <w:b/>
        </w:rPr>
        <w:t>E. 5</w:t>
      </w:r>
    </w:p>
    <w:p>
      <w:r>
        <w:t>La sanction de suspension étant justifiée dans son principe, il reste à en examiner la quotité. Celle-ci a été fixée à 50 jours par l’intimée. La recourante estime que cette quotité est disproportionnée, si bien qu’elle en demande la réduction. a) Aux termes de l’art. 30 al. 3 LACI, la durée de la suspension est proportionnelle à la faute et ne peut excéder, par motif de suspension, 60 jours. En vertu de l’art. 45 al. 3 OACI, la durée de la suspension est de 1 à 15 jours en cas de faute légère (let. a), de 16 à 30 jours en cas de faute de gravité moyenne (let. b) et de 31 à 60 jours en cas de faute grave (let. c). Conformément à l’art. 45 al. 4 OACI, il y a faute grave lorsque, sans motif valable, l’assuré abandonne un emploi réputé convenable sans être assuré d’obtenir un nouvel emploi ou refuse un emploi convenable. D’après le Tribunal fédéral, il faut partir du milieu de la fourchette en cas de faute grave, soit 45 jours, et tenir compte des facteurs aggravants et atténuants et du principe de proportionnalité (ATF 123 V 150 consid. 3c). Selon la Directive LACI IC, D75, 1.D, établie par le Secrétariat d’Etat à l’économie, le non-respect du délai de congé est un facteur aggravant la faute. b) En l’occurrence, la faute commise par la recourante, considérée comme grave, doit être sanctionnée par une suspension moyenne de 45 jours. Le fait d’avoir mis un terme aux rapports de travail avant le délai de congé légal de trois mois constitue un facteur aggravant la faute. A cet égard, comme l’a relevé l’intimée, le fait que l’employeur ait accepté un délai de résiliation des rapports de travail avant l’échéance légale n’y change rien. Par ailleurs, l’intimée a tenu compte, à juste titre, de l’argument de la recourante quant au bien-être des enfants et à leur besoin de stabilité au cours de l’année scolaire comme facteur atténuant</w:t>
      </w:r>
    </w:p>
    <w:p>
      <w:r>
        <w:t>- 7 - la faute. Partant, compte tenu de l’ensemble des circonstances, la réduction de la durée de la suspension de 60 à 50 jours, opérée par l’intimée, peut être confirmée. Cette quotité paraît en outre appropriée, eu égard au respect du principe de proportionnalité. On relèvera encore que la recourante ne fait valoir aucun élément nouveau, au stade du recours, qui n’aurait pas été pris en compte dans la décision litigieuse, se limitant à se référer à ses précédents écrits.</w:t>
      </w:r>
    </w:p>
    <w:p>
      <w:r>
        <w:rPr>
          <w:b/>
        </w:rPr>
        <w:t>E. 6</w:t>
      </w:r>
    </w:p>
    <w:p>
      <w:r>
        <w:t>En définitive, le recours doit être rejeté et la décision sur opposition attaquée confirmée. Il n’y a pas lieu de percevoir de frais judiciaires (art. 61 let. fbis LPGA), ni d’allouer de dépens à la recourante, qui n’obtient pas gain de cause et a procédé sans mandataire qualifié (art. 61 let. g LPGA a contrario ; ATF 127 V 205 consid. 4b). Par ces motifs, la juge unique p r o n o n c e : I. Le recours est rejeté. II. La décision rendue le 16 décembre 2024 par la Caisse cantonale de chômage, Pôle juridique et qualité, est confirmée. III. Il n’est pas perçu de frais judiciaires, ni alloué de dépens. La juge unique : La greffière :</w:t>
      </w:r>
    </w:p>
    <w:p>
      <w:r>
        <w:t>- 8 - Du L'arrêt qui précède est notifié à : - L.________,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