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ZQ24.056932 vom 20. März 2025</w:t>
      </w:r>
    </w:p>
    <w:p>
      <w:r>
        <w:t>VD Tribunal cantonal, 2025-03-20, FR</w:t>
      </w:r>
    </w:p>
    <w:p>
      <w:r>
        <w:rPr>
          <w:b/>
        </w:rPr>
        <w:t xml:space="preserve">Quelle: </w:t>
      </w:r>
      <w:r>
        <w:t>https://mcp.opencaselaw.ch/entscheid/vd_gerichte_ZQ24.056932</w:t>
      </w:r>
    </w:p>
    <w:p>
      <w:r>
        <w:t>FR: VD_GERICHTE ZQ24.056932 du 20 mars 2025</w:t>
      </w:r>
    </w:p>
    <w:p>
      <w:r>
        <w:t>IT: VD_GERICHTE ZQ24.056932 del 20 marzo 2025</w:t>
      </w:r>
    </w:p>
    <w:p>
      <w:pPr>
        <w:pStyle w:val="Heading2"/>
      </w:pPr>
      <w:r>
        <w:t>Erwägungen</w:t>
      </w:r>
    </w:p>
    <w:p>
      <w:r>
        <w:rPr>
          <w:b/>
        </w:rPr>
        <w:t>E. 4</w:t>
      </w:r>
    </w:p>
    <w:p>
      <w:r>
        <w:t>a) En l’occurrence, dans son mémoire, le recourant soutient avoir annoncé son incapacité de travail totale passagère par courriel du 8 avril 2024 à l’ORP en temps utile, compte tenu du fait que son accident est survenu le samedi du weekend de Pâques et qu’en conséquence, le délai</w:t>
      </w:r>
    </w:p>
    <w:p>
      <w:r>
        <w:t>- 8 - d’une semaine pour effectuer ladite annonce, selon l’art. 42 OACI, n’a commencé à courir que le mardi 2 avril 2024, premier jour ouvrable. b) Le recourant ne peut pas être suivi dans ses explications. En effet, il ressort des considérants qui précèdent, lesquels avaient été clairement exposés dans la décision sur opposition attaquée, que le délai d’une semaine fixé à l'art. 42 OACI ne peut être ni suspendu ni interrompu, y compris par des jours fériés contrairement à ce que le recourant persiste à l’invoquer. Dans le cas d’espèce, on peine d’autant plus à comprendre en quoi le weekend de Pâques aurait empêché le recourant d’écrire un courriel à l’ORP pour l’informer de sa situation, en particulier dans les jours qui ont suivi. Par ailleurs, les circonstances du cas particulier ne sauraient ouvrir la voie à une restitution de délai au sens de l’art. 41 LPGA – norme qui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dès lors que, dans son mémoire, le recourant ne sollicite pas la restitution du délai d’une semaine pour effectuer l’annonce litigieuse et ne fait au demeurant état d’aucun empêchement. c) Il faut ainsi admettre que le recourant a commis une faute en n'informant pas l’ORP de son incapacité de travail dans le délai prévu par l’art. 42 al. 1 OACI, de sorte qu'une sanction au sens de l'art. 30 al. 1 let. e LACI était justifiée.</w:t>
      </w:r>
    </w:p>
    <w:p>
      <w:r>
        <w:rPr>
          <w:b/>
        </w:rPr>
        <w:t>E. 5</w:t>
      </w:r>
    </w:p>
    <w:p>
      <w:r>
        <w:t>Il reste à examiner la quotité de la suspension du droit à l'indemnité de chômage. a) En vertu de l’art. 30 al. 3 LACI, la durée de la suspension est proportionnelle à la gravité de la faute et ne peut excéder soixante jours</w:t>
      </w:r>
    </w:p>
    <w:p>
      <w:r>
        <w:t>- 9 -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D79/4.).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En l’espèce, en retenant une faute légère, l’intimée a fixé la durée de la suspension à deux jours. Compte tenu des circonstances, la suspension de deux jours infligée au recourant, laquelle se situe dans le bas de l’échelle des sanctions, respecte le principe de proportionnalité (ATF 139 V 164 consid. 4.3) et est conforme à l’art. 45 al. 3 OACI, de sorte qu’elle doit être confirmée. On ne saurait suivre le recourant lorsqu’il retient que sa faute doit être qualifiée d’extrêmement légère, en raison d’un retard que de trois jours. En effet, un retard de trois jours concernant un délai de sept jours n’est pas négligeable. On rappellera encore que la durée de la suspension se mesure d’après le degré de gravité de la faute commise et non en fonction du dommage causé (Bulletin LACI IC ch. D1).</w:t>
      </w:r>
    </w:p>
    <w:p>
      <w:r>
        <w:t>- 10 -</w:t>
      </w:r>
    </w:p>
    <w:p>
      <w:r>
        <w:rPr>
          <w:b/>
        </w:rPr>
        <w:t>E. 6</w:t>
      </w:r>
    </w:p>
    <w:p>
      <w:r>
        <w:t>Le recourant demande la fixation d’une audience de débats publics au sens de l’art. 6 § 1 CEDH. a) D’après la jurisprudence, le droit à des débats publics existe pour les causes qui bénéficient de la protection de l’art. 6 § 1 CEDH,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l’inspection locale) ne suffit pas à fonder une telle obligation (cf. ATF 122 V 47 consid. 2c).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141 I 97 consid. 5.1 ; 136 I 279 consid. 1 ; 122 V 47 consid. 3b ; TF 1C_87/2024 du 3 septembre 2024 consid. 2.1). b) En l’espèce, il y a lieu de constater que le recours est manifestement mal fondé. En effet, le recourant reprend les mêmes arguments que dans son opposition, sans apporter aucun nouvel élément devant l’autorité de céans, alors que la situation juridique et factuelle avait été établie de manière complète et correcte dans la décision sur opposition attaquée. En outre, bien que représenté par un mandataire professionnel, son argumentation principale ne tient absolument pas compte du droit applicable, lequel empêche toute suspension du délai d’une semaine. En conséquence, il ne sera pas donné suite à la requête d’audience de débats publics.</w:t>
      </w:r>
    </w:p>
    <w:p>
      <w:r>
        <w:t>- 11 -</w:t>
      </w:r>
    </w:p>
    <w:p>
      <w:r>
        <w:rPr>
          <w:b/>
        </w:rPr>
        <w:t>E. 7</w:t>
      </w:r>
    </w:p>
    <w:p>
      <w:r>
        <w:t>a) En définitive, le recours, mal fondé, doit être rejeté et la décision sur opposition litigieuse confirmée. b) Il n’y a pas lieu de percevoir de frais judiciaires (art. 61 let. fbis LPGA), ni d’allouer de dépens au recourant, qui n’obtient pas gain de cause (art. 61 let. g LPGA). Par ces motifs, le juge unique p r o n o n c e : I. Le recours est rejeté. II. La décision sur opposition rendue le 13 novembre 2024 par la Direction générale de l’emploi et du marché du travail est confirmée. III. Il n’est pas perçu de frais judiciaires, ni alloué de dépens. Le juge unique : Le greffier : Du L'arrêt qui précède est notifié à : - Me Jean-Michel Duc (pour L.________), - Direction générale de l’emploi et du marché du travail, - Secrétariat d’Etat à l’économie (SECO),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