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ZQ24.056641 vom 4. Juni 2025</w:t>
      </w:r>
    </w:p>
    <w:p>
      <w:r>
        <w:t>VD Tribunal cantonal, 2025-06-04, FR</w:t>
      </w:r>
    </w:p>
    <w:p>
      <w:r>
        <w:rPr>
          <w:b/>
        </w:rPr>
        <w:t xml:space="preserve">Quelle: </w:t>
      </w:r>
      <w:r>
        <w:t>https://mcp.opencaselaw.ch/entscheid/vd_gerichte_ZQ24.056641</w:t>
      </w:r>
    </w:p>
    <w:p>
      <w:r>
        <w:t>FR: VD_GERICHTE ZQ24.056641 du 4 juin 2025</w:t>
      </w:r>
    </w:p>
    <w:p>
      <w:r>
        <w:t>IT: VD_GERICHTE ZQ24.056641 del 4 giugno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w:t>
      </w:r>
    </w:p>
    <w:p>
      <w:r>
        <w:t>- 7 - les conclusions qui vont au-delà de l’objet de la contestation, tel que défini par la décision litigieuse, sont en principe irrecevables (ATF 144 II 359 consid. 4.3 ; 142 I 155 consid. 4.4.2 ; 134 V 418 consid. 5.2.1). b) En l’occurrence, la contestation a pour seul objet le point de savoir si l’intimée était fondée à prononcer l’inaptitude au placement de l’assurée pour la période du 1er au 30 août 2024 et, partant, à lui refuser le droit à l’indemnité de chômage durant cette période. Au vu de l’objet de la contestation, la conclusion de la recourante tendant à l’annulation de l’obligation de rembourser un montant de 2'864 fr. 95 d’indemnités versées à tort – prononcée par décision du 25 octobre 2024 de la Caisse cantonale de chômage – est étrangère au cadre défini par la décision entreprise et est irrecevable.</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136 V 95 consid. 5.1 ; 123 V 214 consid. 3 et les références citées ; TF 8C_282/2018 du 14 novembre 2018 consid. 4.1 et les références citées). b) Les chômeurs qui envisagent d’exercer ou exercent une activité indépendante ont une disponibilité qui, suivant les cas, peut être</w:t>
      </w:r>
    </w:p>
    <w:p>
      <w:r>
        <w:t>- 8 -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(Boris Rubin, Commentaire de la loi sur l’assurance-chômage, Genève/Zurich/Bâle 2014, n° 40 ad art. 15 LACI ; TF 8C_853/2009 du 5 août 2010 consid. 3.5). Est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citées ; TF 8C_169/2014 du 2 mars 2015 consid. 3.2 ; TF 9C_577/2019 du 13 octobre 2020 consid. 4.1). La personne au chômage qui projette de devenir indépendante sans avoir précisément fixé la date du début de son activité peut être déclarée inapte au placement, dans le cadre d’une appréciation globale des circonstances. Cette situation est en effet peu compatible avec un engagement (Rubin, op. cit., n° 46 ad art. 15 LACI). En revanche, si l’activité indépendante a été entreprise dans le but de diminuer le dommage à l’assurance (c’est-à-dire en réaction face au chômage), après une phase de recherches d’emploi sérieuses, et ne correspond pas à un autre objectif, l’aptitude au placement peut être admise (Rubin, op. cit., n° 44 ad art. 15 LACI). c) Dans le domaine des assurances sociales, le juge fonde sa décision, sauf dispositions contraires de la loi, sur les faits qui, faute d’être établis de manière irréfutable, apparaissent comme les plus</w:t>
      </w:r>
    </w:p>
    <w:p>
      <w:r>
        <w:t>- 9 -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Il n’existe aucun principe juridique dictant à l’administration ou au juge de statuer en faveur de la personne assurée en cas de doute (ATF 135 V 39 consid. 6.1 et les références citées ; TF 8C_782/2023 du 6 juin 2024 consid. 4.2.1).</w:t>
      </w:r>
    </w:p>
    <w:p>
      <w:r>
        <w:rPr>
          <w:b/>
        </w:rPr>
        <w:t>E. 4</w:t>
      </w:r>
    </w:p>
    <w:p>
      <w:r>
        <w:t>a) En l’espèce, l’intimée a, par décision du 22 octobre 2024 – confirmée sur opposition le 27 novembre 2024 –, déclaré la recourante inapte au placement pour la période du 1er au 30 août 2024, dès lors que l’objectif de l’intéressée était de pouvoir développer son activité indépendante et qu’elle n’était plus dans la perspective de reprendre une activité salariée. De son côté, la recourante fait valoir qu’elle était toujours complètement disponible pour prendre un emploi salarié durant la période litigieuse. b) En l’occurrence, il convient de constater, à l’instar de l’intimée, que l’exercice par la recourante d’une activité indépendante, sous la forme de l’exploitation d’un restaurant, relève d’une aspiration professionnelle de longue date et non d’une réaction à sa mise au chômage ou d’une intention de diminuer le dommage en résultant. A cet égard, il y a lieu de mettre en évidence les démarches entreprises par la recourante, en particulier la conclusion d’un contrat de bail à loyer pour les locaux – appartement compris – de l’[...] dès le 28 juin 2024, son inscription au registre du commerce le 14 août 2024, la conclusion avec les anciens exploitants du restaurant d’un contrat portant notamment sur le rachat sur une durée de trois ans des parts de la société [...] Sàrl, ou encore la réalisation de travaux en vue de la réouverture de l’établissement au 31 août 2024.</w:t>
      </w:r>
    </w:p>
    <w:p>
      <w:r>
        <w:t>- 10 - Au regard du temps et de l’argent investis pour concrétiser son projet, il paraît peu probable que la recourante ait été prête à renoncer à son activité au profit d’une activité dépendante. Il y a lieu de craindre que celle-ci n’ait pas pu offrir à un potentiel employeur des perspectives claires d’employabilité ainsi que toute la disponibilité normalement exigible. Aussi, il convient de considérer, sur la base du dossier et des déclarations de la recourante, que celle-ci s’est engagée dans une démarche dynamique et de long terme visant l’exercice d’une activité indépendante. Le seul fait qu’elle ait rempli formellement ses obligations de chômeuse ne permet pas de mettre en doute son inaptitude au placement au cours de la période litigieuse. En raison de l'étendue de son engagement pour la mise sur pied de son projet d’indépendante, la recourante n’offrait objectivement pas la disponibilité annoncée au taux de 80 %. Au surplus, les arguments de la recourante, selon lesquels sa demande de prestations s’inscrivait dans le cadre d’une situation temporaire de transition entre la fin de son activité salariée et le début de son activité indépendante, durant laquelle elle a dû faire face à des dépenses imprévues et des charges importantes, ne permettent pas de s’écarter de cette appréciation. A cet égard, on rappellera que l’assurance- chômage n’a pas vocation à couvrir le risque d’entreprise des personnes ayant résolument choisi de se tourner à moyen ou long terme vers l’indépendance et d’abandonner le statut de salarié (cf. consid. 3b supra). c) Au vu de ce qui précède, il y a lieu de retenir que l’intimée n’a pas violé le droit fédéral en déclarant la recourante inapte au placement pour la période du 1er au 30 août 2024.</w:t>
      </w:r>
    </w:p>
    <w:p>
      <w:r>
        <w:rPr>
          <w:b/>
        </w:rPr>
        <w:t>E. 5</w:t>
      </w:r>
    </w:p>
    <w:p>
      <w:r>
        <w:t>La recourante fait par ailleurs valoir sa bonne foi et, à tout le moins implicitement, les conséquences financières qu’auraient l’obligation de restitution du montant de 2'864 fr. 95 de prestations perçues à tort. Une telle argumentation ne peut cependant pas être prise en compte dans la présente procédure, dont l’examen se limite à la question de l’aptitude</w:t>
      </w:r>
    </w:p>
    <w:p>
      <w:r>
        <w:t>- 11 - au placement de la recourante du 1er au 30 août 2024 (cf. consid. 2b supra). Elle peut en revanche faire l’objet d’une demande ultérieure de remise de la prestation à restituer au sens des art. 25 al. 1, deuxième phrase, LPGA et 4 OPGA (ordonnance fédérale du 11 septembre 2002 sur la partie générale du droit des assurances sociales ; RS 830.11), applicables par renvoi de l’art. 95 LACI. A cet égard, il ressort du dossier que l’opposition de la recourante du 29 octobre 2024 a été transmise à la Caisse cantonale de chômage en tant qu’elle contestait également la décision de restitution du 25 octobre 2024. Si l’on ignore le sort de cette procédure, la recourante aura néanmoins la possibilité, une fois la décision y relative entrée en force, et pour autant que les conditions soient remplies, de formuler une demande de remise de l’obligation de restituer.</w:t>
      </w:r>
    </w:p>
    <w:p>
      <w:r>
        <w:rPr>
          <w:b/>
        </w:rPr>
        <w:t>E. 6</w:t>
      </w:r>
    </w:p>
    <w:p>
      <w:r>
        <w:t>a) En définitive, le recours, mal fondé, doit être rejeté dans la mesure de sa recevabilité et la décision sur opposition attaquée confirmée. b) Il n’y a pas lieu de percevoir de frais judiciaires (art. 61 let. fbis LPGA), ni d’allouer de dépens à la recourante, qui n’obtient pas gain de cause (art. 61 let. g LPGA). Par ces motifs, la juge unique p r o n o n c e : I. Le recours est rejeté dans la mesure de sa recevabilité. II. La décision sur opposition rendue le 27 novembre 2024 par la Direction générale de l'emploi et du marché du travail est confirmée.</w:t>
      </w:r>
    </w:p>
    <w:p>
      <w:r>
        <w:t>- 12 - III. Il n’est pas perçu de frais judiciaires, ni alloué de dépens. La juge unique : Le greffier :</w:t>
      </w:r>
    </w:p>
    <w:p>
      <w:r>
        <w:t>- 13 - Du L'arrêt qui précède est notifié à : - Q.________,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