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ZQ24.056210 vom 15. April 2025</w:t>
      </w:r>
    </w:p>
    <w:p>
      <w:r>
        <w:t>VD Tribunal cantonal, 2025-04-15, FR</w:t>
      </w:r>
    </w:p>
    <w:p>
      <w:r>
        <w:rPr>
          <w:b/>
        </w:rPr>
        <w:t xml:space="preserve">Quelle: </w:t>
      </w:r>
      <w:r>
        <w:t>https://mcp.opencaselaw.ch/entscheid/vd_gerichte_ZQ24.056210</w:t>
      </w:r>
    </w:p>
    <w:p>
      <w:r>
        <w:t>FR: VD_GERICHTE ZQ24.056210 du 15 avril 2025</w:t>
      </w:r>
    </w:p>
    <w:p>
      <w:r>
        <w:t>IT: VD_GERICHTE ZQ24.056210 del 15 aprile 2025</w:t>
      </w:r>
    </w:p>
    <w:p>
      <w:pPr>
        <w:pStyle w:val="Heading2"/>
      </w:pPr>
      <w:r>
        <w:t>Erwägungen</w:t>
      </w:r>
    </w:p>
    <w:p>
      <w:r>
        <w:rPr>
          <w:b/>
        </w:rPr>
        <w:t>E. 5</w:t>
      </w:r>
    </w:p>
    <w:p>
      <w:r>
        <w:t>Si la sanction de suspension prononcée à l’encontre du recourant est – dans son principe – justifiée, il reste encore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Aux termes de l’art. 45 al. 5 OACI, si l’assuré est suspendu de façon répétée dans son droit à l’indemnité, la durée de suspension est prolongée en conséquence (première phrase). Les suspensions subies pendant les deux dernières années sont prises en compte dans le calcul de la prolongation (seconde phrase). b) En l’occurrence, l’intimée a retenu une faute de gravité moyenne et fixé la suspension de l’indemnité de chômage à une durée de vingt-quatre jours. Aussi, cette quotité n’apparaît – de loin – pas disproportionnée, compte tenu du comportement dont a fait preuve le recourant depuis son inscription à l’assurance-chômage, en particulier du fait qu’il s’agissait de sa troisième sanction en lien avec une mesure de marché du travail, après celle du 23 avril 2024 (abandon de la mesure auprès de l’Association [...]) et celle du 3 mai 2024 (refus de participer à la</w:t>
      </w:r>
    </w:p>
    <w:p>
      <w:r>
        <w:t>- 11 - première mesure organisée auprès de la Fondation R.________), ainsi que de sa sixième sanction au total, après celle du 14 décembre 2023 (recherche d’emploi insuffisante), celle du 3 mai 2024 (rendez-vous manqué avec l’ORP) et celle du 7 mai 2024 (recherches d’emploi remises hors délai pour le mois de mars 2024). d) Il sied au demeurant de rappeler que certains facteurs ne jouent en principe aucun rôle dans l’évaluation de la gravité de la faute, comme d’éventuels problèmes financiers rencontrés par l’assuré (Boris Rubin, op. cit., n° 109 ad art. 30 LACI ; cf. aussi TFA C 21/05 du 26 septembre 2005 consid. 6). Ainsi, la précarité de la situation matérielle du recourant – qu’il n’appartient en aucun cas de nier ni de minimiser – ne saurait avoir une quelconque incidence sous l’angle de la quotité de la sanction.</w:t>
      </w:r>
    </w:p>
    <w:p>
      <w:r>
        <w:rPr>
          <w:b/>
        </w:rPr>
        <w:t>E. 6</w:t>
      </w:r>
    </w:p>
    <w:p>
      <w:r>
        <w:t>a) En définitive, le recours, mal fondé, doit être rejeté et la décision sur opposition rendue le 11 novembre 2024 par l’intimée confirmée. b) Il n’y a pas lieu de percevoir de frais judiciaires (art. 61 let. fbis LPGA), ni d’allouer de dépens à la partie recourante, qui n’obtient pas gain de cause et a procédé sans mandataire qualifié (art. 61 let. g LPGA ; ATF 127 V 205 consid. 4b). Par ces motifs, le juge unique p r o n o n c e : I. Le recours est rejeté. II. La décision sur opposition rendue le 11 novembre 2024 par la Direction générale de l’emploi et du marché du travail est confirmée.</w:t>
      </w:r>
    </w:p>
    <w:p>
      <w:r>
        <w:t>- 12 - III. Il n’est pas perçu de frais judiciaires ni alloué de dépens. Le juge unique : Le greffier : Du L'arrêt qui précède est notifié à : - B.________, - Direction générale de l’emploi et du marché du travail,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