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ZQ24.046675 vom 12. Juni 2025</w:t>
      </w:r>
    </w:p>
    <w:p>
      <w:r>
        <w:t>VD Tribunal cantonal, 2025-06-12, FR</w:t>
      </w:r>
    </w:p>
    <w:p>
      <w:r>
        <w:rPr>
          <w:b/>
        </w:rPr>
        <w:t xml:space="preserve">Quelle: </w:t>
      </w:r>
      <w:r>
        <w:t>https://mcp.opencaselaw.ch/entscheid/vd_gerichte_ZQ24.046675</w:t>
      </w:r>
    </w:p>
    <w:p>
      <w:r>
        <w:t>FR: VD_GERICHTE ZQ24.046675 du 12 juin 2025</w:t>
      </w:r>
    </w:p>
    <w:p>
      <w:r>
        <w:t>IT: VD_GERICHTE ZQ24.046675 del 12 giugno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Vu la valeur litigieuse inférieure à 30’000 fr., la cause est de la compétence du juge unique (art. 94 al. 1 let. a LPA-VD).</w:t>
      </w:r>
    </w:p>
    <w:p>
      <w:r>
        <w:rPr>
          <w:b/>
        </w:rPr>
        <w:t>E. 2</w:t>
      </w:r>
    </w:p>
    <w:p>
      <w:r>
        <w:t>Le litige porte sur la remise de l’obligation de restituer les prestations de l’assurance-chômage versées à tort au recourant. Le principe de la restitution de la somme de 14'659 fr. représentant le montant des indemnités indûment perçues entre le 14 septembre 2022 et le 31 janvier 2023 a été tranché de manière définitive par la décision – demeurée sans opposition – rendue le 21 février 2023 par la Caisse cantonale de chômage. Seule demeure litigieuse la question de savoir si le recourant peut obtenir la remise de son obligation de restituer.</w:t>
      </w:r>
    </w:p>
    <w:p>
      <w:r>
        <w:rPr>
          <w:b/>
        </w:rPr>
        <w:t>E. 3</w:t>
      </w:r>
    </w:p>
    <w:p>
      <w:r>
        <w:t>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l’arrêt cité). Si l’examen de la première condition (bonne foi) devait mener au constat que celle-ci n’est pas réalisée, celui de la seconde (situation difficile ; cf. à ce sujet : art. 5 OPGA) deviendrait superflue.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w:t>
      </w:r>
    </w:p>
    <w:p>
      <w:r>
        <w:t>- 8 -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w:t>
      </w:r>
    </w:p>
    <w:p>
      <w:r>
        <w:t>- 9 - octobre 2005 consid. 7.3). Bien entendu, l’obligation d’informer et d’aviser s’applique aussi aux rapports entre assuré et conseiller de l’office régional de placement. A propos de la condition du domicile en Suisse (art. 8 al. 1 let. c LACI), n’est pas de bonne foi l’assuré qui prétend ne pas distinguer une simple adresse de correspondance (en Suisse) d’un lieu de résidence (à l’étranger ; Boris Rubin, Assurance-chômage, 2e éd. 2006, ch. 10.6.4.2.4, p. 738 et la référence citée).</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b) Selon la maxime inquisitoire qui régit la procédure devant le tribunal cantonal des assurances – de même que la procédure administrative (art. 43 al. 1 LPGA) – dans le domaine des assurances sociales, le juge doit établir (d'office) les faits déterminants pour la solution du litige, avec la collaboration des parties. Il administre les preuves nécessaires et les apprécie librement (art. 61 let. c LPGA). En principe, les parties ne supportent ni le fardeau de l'allégation ni celui de l'administration des preuves. Cette maxime doit cependant être relativisée par son corollaire, soit le devoir de collaborer des parties. Celui-ci comprend l'obligation d'apporter, dans la mesure où cela est raisonnablement exigible, les preuves commandées par la nature du litige</w:t>
      </w:r>
    </w:p>
    <w:p>
      <w:r>
        <w:t>- 10 - et des faits invoqués, faute de quoi elles risquent de devoir supporter les conséquences de l'absence de preuves (ATF 125 V 193 consid. 2 et les références ; voir aussi ATF 140 I 285 consid. 6.3.1).</w:t>
      </w:r>
    </w:p>
    <w:p>
      <w:r>
        <w:rPr>
          <w:b/>
        </w:rPr>
        <w:t>E. 5</w:t>
      </w:r>
    </w:p>
    <w:p>
      <w:r>
        <w:t>En l’espèce, le recourant ne conteste pas avoir quitté, en date du 14 septembre 2022, la commune de Z.________ pour une destination qu’il n’a pas précisée. a) Quoi qu’en dise le recourant, le fait d’avoir disposé d’une case postale ne permet pas de retenir qu’il ait été effectivement domicilié en Suisse au cours de la période litigieuse. En effet,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(ATF 148 V 209 consid. 4.3 ; 115 V 448 consid. 1 ; TF 8C_632/2020 du 8 juin 2021 consid. 4 et les références). L’assuré doit remplir la condition de la résidence en Suisse non seulement au début du chômage, mais également durant toute la période d’indemnisation (Boris Rubin, Commentaire de la loi sur l’assurance-chômage, Genève/Zurich/Bâle 2014, n° 8 ad art. 8 LACI).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(TFA C 226/02 du 26 mai 2003 consid. 1.1 ; Boris Rubin, Assurance-chômage, 2e éd. 2006, ch. 3.7.2, p. 173). De même, un séjour tout à fait éphémère ou de pur hasard, ainsi qu’un pied-à-terre destiné uniquement à la recherche d’un emploi, ne sont pas assimilables à une résidence. Enfin, le principe prévu par l’art. 24 al. 1 CC (code civil suisse du 10 décembre 1907 ; RS 210), selon lequel toute personne conserve son domicile aussi longtemps qu’elle ne s’en est pas créé un nouveau, n’entre pas en ligne de compte pour l’application de l’art. 8 al. 1 let. c LACI (TFA C 121/02 du 9 avril 2003 consid. 2.2).</w:t>
      </w:r>
    </w:p>
    <w:p>
      <w:r>
        <w:t>- 11 - b) Comme mentionné ci-dessus, le principe inquisitoire n’est pas absolu et sa portée est restreinte par le devoir de l’assuré d’apporter, dans la mesure où cela peut être raisonnablement exigé de lui, les preuves nécessaires, faute de quoi, il risque de devoir supporter les conséquences de l’absence de preuves (cf. considérant 4b supra). Il sied de préciser, dans ce contexte, qu’il n’appartient pas en l’espèce aux organes de l’assurance-chômage de prouver que le recourant séjournait à l’étranger, mais c’est à celui-ci de rendre vraisemblable qu’il aurait continué de séjourner en Suisse durant la période comprise entre le 14 septembre 2022 et le 31 janvier 2023. Force est cependant de constater que l’intéressé n’a pas rendu vraisemblable qu’il résidait en Suisse durant les mois litigieux. Il s’est en effet contenté d’affirmer que tel était le cas, mais sans donner d’explications concrètes et cohérentes sur son lieu de séjour. Certes, il a produit des attestations des 2 février et 14 mars 2023 signées par L.________, lequel aurait mis à sa disposition un hébergement dans un appartement. Celles-ci ne sauraient toutefois, pour les raisons qui suivent, constituer la preuve de son séjour en Suisse durant la période litigieuse. En premier lieu, il faut relever que le recourant, alors qu’il était expressément interrogé par la Caisse au sujet de son lieu de séjour, a, durant toute la procédure administrative, seulement fait part des difficultés qu’il aurait rencontrées à louer un logement en raison de sa période de chômage (courriel du 2 février 2023 et courrier du 9 mars 2023), mais sans jamais mentionner qu’il aurait logé chez L.________, ni indiquer ses lieux de séjour concrets. De fait, à lire les attestations produites, leur auteur ne mentionne nullement avoir logé le recourant chez lui, mais fait savoir qu’il aurait mis à sa disposition « un hébergement en Suisse dans un appartement situé à […] H.________ ». La Caisse a par ailleurs tenté d’obtenir des informations sur le lieu de séjour du recourant par son courrier du 25 janvier 2023, dans lequel elle l’a invité à fournir différentes pièces, propres à attester un séjour en Suisse. Or celui-ci n’a produit aucun des documents demandés, ce qu’il ne prétend du reste pas. c) Sachant qu’il devait quitter son domicile de Z.________ le 14 septembre 2022, le recourant aurait dû en informer sa conseillère en</w:t>
      </w:r>
    </w:p>
    <w:p>
      <w:r>
        <w:t>- 12 - personnel, ce qu’il n’a pourtant pas fait (cf. procès-verbal de l’entretien de conseil du 13 février 2023). Or le recourant a dû assister à la séance d’information collective sur l’assurance-chômage (SICORP) au cours de laquelle les chômeurs sont informés de leurs droits et devoirs, ainsi que du rôle de la caisse de chômage et de l’ORP. A cette occasion, l’obligation de domicile en Suisse pour toucher les prestations de chômage est rappelée. Le recourant ne le conteste pas. d) Dans ce contexte, en s’abstenant de signaler qu’il n’était plus domicilié à Z.________ à compter du 14 septembre 2022, le recourant a sans aucun doute violé son obligation de renseigner. Le fait de ne pas s’être conformé à ce qui pouvait être raisonnablement exigé d’une personne capable de discernement dans une situation identique constitue par conséquent un comportement dolosif ou, à tout le moins, une négligence grave qui empêche la reconnaissance de la bonne foi du recourant. En tout état de cause, il convient de rappeler que l’erreur de droit, qui est admise de manière restrictive, est fondée sur l’idée que le justiciable doit s’efforcer de prendre connaissance de la loi et que son ignorance ne lui permet de s’exculper que dans des cas exceptionnels (ATF 129 IV 238 consid. 4.1). L’ignorance de la loi ne constitue donc en principe pas une raison suffisante et il appartient à celui qui se trouve face à une situation juridique qu’il ne maîtrise pas de prendre les renseignements nécessaires (ATF 128 IV 201 consid. 2). e) Sur le vu de ce qui précède, il appert que le recourant n’a pas perçu les prestations indues de bonne foi au sens de la jurisprudence citée ci-dessus (cf. considérant 3b supra). La première des deux conditions cumulatives à la remise n’étant pas remplie, c’est à bon droit que l’intimée a rejeté la demande de remise du recourant. Les difficultés à rembourser la somme litigieuse invoquées par l’intéressé compte tenu de sa situation financière et personnelle n’y changent rien ; aussi, la question de savoir si la restitution le mettrait dans une situation matérielle difficile peut demeurer ouverte. Nonobstant ce qui précède, le recourant est rendu attentif au fait qu’il lui est loisible de solliciter de l’autorité l’instauration d’un plan de remboursement échelonné.</w:t>
      </w:r>
    </w:p>
    <w:p>
      <w:r>
        <w:t>- 13 -</w:t>
      </w:r>
    </w:p>
    <w:p>
      <w:r>
        <w:rPr>
          <w:b/>
        </w:rPr>
        <w:t>E. 6</w:t>
      </w:r>
    </w:p>
    <w:p>
      <w:r>
        <w:t>a) En définitive, le recours, mal fondé, doit être rejeté et la décision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23 septembre 2024 par la Direction générale de l’emploi et du marché du travail est confirmée. III. Il n’est pas perçu de frais judiciaires, ni alloué de dépens. Le juge unique : Le greffier :</w:t>
      </w:r>
    </w:p>
    <w:p>
      <w:r>
        <w:t>- 14 - Du L'arrêt qui précède est notifié à : - M. I.________,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