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ZQ24.042874 vom 14. Juli 2025</w:t>
      </w:r>
    </w:p>
    <w:p>
      <w:r>
        <w:t>VD Tribunal cantonal, 2025-07-14, FR</w:t>
      </w:r>
    </w:p>
    <w:p>
      <w:r>
        <w:rPr>
          <w:b/>
        </w:rPr>
        <w:t xml:space="preserve">Quelle: </w:t>
      </w:r>
      <w:r>
        <w:t>https://mcp.opencaselaw.ch/entscheid/vd_gerichte_ZQ24.042874</w:t>
      </w:r>
    </w:p>
    <w:p>
      <w:r>
        <w:t>FR: VD_GERICHTE ZQ24.042874 du 14 juillet 2025</w:t>
      </w:r>
    </w:p>
    <w:p>
      <w:r>
        <w:t>IT: VD_GERICHTE ZQ24.042874 del 14 luglio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w:t>
      </w:r>
    </w:p>
    <w:p>
      <w:r>
        <w:t>- 6 - par la décision litigieuse, sont en principe irrecevables (ATF 144 II 359 consid. 4.3 ; 142 I 155 consid. 4.4.2 ; 134 V 418 consid. 5.2.1). b) Le litige porte sur le nombre de jours d’attente fixé par l’intimée en fonction de la situation familiale et du gain assuré du recourant. Cela étant, il convient de relever que le grief du recourant relatif au déni de justice/retard à statuer, respectivement à l’allocation d’une indemnité pour tort moral à ce titre, est irrecevable, dès lors que l’agence de [...], puis l’intimée, ont rendu une décision que le recourant a été en mesure de contester, étant pour le surplus précisé que l’intimée a rendu sur ces points une décision le 11 octobre 2024, décision que le recourant avait la possibilité de contester selon les voies de droit prévues par celle-ci. Pour le reste, en tant qu’elles sortent de l’objet de la contestation, la conclusion du recourant tendant au remboursement des primes de l’assurance-maladie perte de gain prélevées sur son indemnité chômage ainsi que celle visant l’octroi d’une indemnité pour tort moral en lien avec la prétendue violation par l’intimée de ses obligations ressortant de la législation sur la protection des données, doivent, elles aussi, être déclarées irrecevables.</w:t>
      </w:r>
    </w:p>
    <w:p>
      <w:r>
        <w:rPr>
          <w:b/>
        </w:rPr>
        <w:t>E. 3</w:t>
      </w:r>
    </w:p>
    <w:p>
      <w:r>
        <w:t>a) Aux termes de l’art. 23 al. 1, 1ère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gain assuré est calculé sur la base du salaire moyen des six derniers mois de cotisation qui précèdent le délai-cadre d’indemnisation (art. 37 al. 1 OACI). Il est déterminé sur la base du salaire moyen des douze derniers mois de cotisation précédant le délai-cadre d’indemnisation si ce salaire est plus élevé que le salaire moyen visé à l’art. 37 al. 1 OACI (art. 37 al. 2 OACI). La période de référence commence</w:t>
      </w:r>
    </w:p>
    <w:p>
      <w:r>
        <w:t>- 7 - à courir le jour précédant le début de la perte de gain à prendre en considération quelle que soit la date de l’inscription au chômage ; à ce jour, l’assuré doit avoir cotisé douze mois au moins pendant le délai-cadre applicable à la période de cotisation (art. 37 al. 3 OACI). b) L’art. 18 al. 1 LACI prévoit que le droit à l’indemnité commence à courir après un délai d’attente de cinq jours de chômage contrôlé. Pour les personnes qui n’ont pas d’obligation d’entretien envers des enfants de moins de 25 ans, le délai d’attente s’étend à 10 jours pour un gain assuré compris entre 60'001 et 90'000 francs, à 15 jours pour un gain assuré compris entre 90'001 et 125'000 francs et à 20 jours pour un gain assuré supérieur à 125'000 francs. Selon l’art. 6a al. 1 OACI, ce délai ne doit être observé qu’une seule fois durant le délai-cadre d’indemnisation ; ne peuvent compter comme délai d’attente que les jours pour lesquels l’assuré remplit les conditions donnant droit à l’indemnité au sens de l’art. 8 al. 1 LACI. Une réduction durable de la disponibilité de travailler de l’assuré pendant le délai-cadre d’indemnisation en cours qui entraîne une modification du gain assuré avec effet rétroactif (effet ex tunc) ou sans effet rétroactif (effet ex nunc) ne modifie pas le délai d’attente fixé à l’ouverture du délai-cadre d’indemnisation (ch. Bulletin LACI IC [indemnités journalières], ch. 108d, 1er paragraphe). En revanche, la correction rétroactive du gain assuré à la date d’ouverture du délai-cadre d’indemnisation en application de l’art. 40b OACI, à la suite d’une décision de l’assurance-invalidité fixant le taux d’invalidité de l’assuré, entraîne un raccourcissement du délai d’attente si le gain assuré modifié tombe dans une catégorie inférieure d’après l’art. 18 al. 1 LACI (TF 8C_746/2014 du 23 mars 2015 ; Bulletin LACI IC, ch. 108d, 2ème paragraphe).</w:t>
      </w:r>
    </w:p>
    <w:p>
      <w:r>
        <w:rPr>
          <w:b/>
        </w:rPr>
        <w:t>E. 4</w:t>
      </w:r>
    </w:p>
    <w:p>
      <w:r>
        <w:t>a) En l’espèce, le recourant reproche à l’intimée d’avoir tenu compte d’un gain assuré de 8'232 fr. pour déterminer le délai d’attente au sens de l’art. 18 al. 1 LACI, alors que son droit à l’indemnité de chômage a</w:t>
      </w:r>
    </w:p>
    <w:p>
      <w:r>
        <w:t>- 8 - été calculé d’après un gain assuré de 4'116 fr. afin de tenir compte d’une aptitude au placement réduite de moitié. b) A titre liminaire, il sied de constater que le gain assuré de 8'232 fr. retenu par l’intimée, sur la base des douze derniers mois de salaire soumis à cotisation (8'233 fr. 33 [7600 fr. + 633 fr. 33 à titre de 13e salaire] du 1er mars au 31 décembre 2022 et 8'223 fr. 63 [7600 fr. + 623 fr. 63 à titre de 13e salaire {1'247 fr. / 2 selon fiche de salaire du mois de février 2023}] pour les mois de janvier et février 2023) perçus par le recourant, ne prête pas le flanc à la critique, ce que l’intéressé ne disconvient au demeurant pas. c) A lecture du message du Conseil fédéral concernant l’art. 18 LACI (FF 1994 V p. 569), on constate que l’instauration d’un délai d’attente visait à améliorer la situation économique de l’assurance-chômage, par l’instauration d’un délai, au début du délai-cadre d’indemnisation, durant lequel l’assuré ne percevait pas les indemnités de chômage, malgré qu’il en réalisait toutes les conditions. Le délai d’attente revête dès lors le caractère de « franchise » (TF 8C_746/2014 précité consid. 5.5 ; TFA C 341/00 du 18 juin 2001 consid. 5b et les références citées ; Boris Rubin, Commentaire de la loi sur l’assurance-chômage, Zurich/Bâle/Genève 2014, n° 1 ad art. 18). Le législateur attend ainsi de l’assuré qu’il puise dans les revenus perçus avant chômage les ressources nécessaires à la couverture de ses charges pendant le délai d’attente. L’augmentation du nombre de jours du délai d’attente général proportionnelle à celle des revenus ne fait que confirmer cette intention du législateur. A défaut, le délai d’attente aurait été identique pour toutes les catégories de revenus. De ce constat, on peut tirer la conclusion que le délai d’attente doit en l’occurrence être calculé sur la base du gain assuré tel que fixé avant réduction. C’est également la solution prévue par le ch. C108d du Bulletin LACI IC, 1er paragraphe, lequel indique qu’une réduction durable de la disponibilité de travailler de l’assuré pendant le délai-cadre</w:t>
      </w:r>
    </w:p>
    <w:p>
      <w:r>
        <w:t>- 9 - d’indemnisation en cours qui entraîne une modification du gain assuré avec effet rétroactif (effet ex tunc) ou sans effet rétroactif (effet ex nunc) ne modifie pas le délai d’attente fixé à l’ouverture du délai-cadre d’indemnisation. A l’inverse, le délai d’attente ne serait pas revu en défaveur de la personne concernée si son gain assuré venait à augmenter au cours du délai-cadre d’indemnisation ou si une obligation d’entretien venait à s’éteindre (cf. Boris Rubin, Assurance-chômage – Manuel à l’usage des praticiens, Genève/Zurich 2025, pp. 107 et 108). d) C’est ainsi à juste titre que le délai d’attente a été calculé sur la base du gain assuré de 8'232 fr., soit avant la réduction qui tient compte du taux de travail à 50 % compte tenu de l’incapacité de travail présentée par le recourant. Ce montant, annualisé, correspond à un délai d’attente de quinze jours (art. 18 al. 1 let. b LACI), ainsi que l’a retenu la caisse intimée dans la décision attaquée. La jurisprudence du Tribunal fédéral mentionnée par le recourant dans ses écritures (TF 8C _113/2018 du 14 juin 2018) ne lui est d’aucun secours, celle-ci ayant trait à la modification rétroactive du gain assuré en raison de la reconnaissance d’une incapacité de gain (donnant lieu, ou non, à l’octroi d’une rente d’invalidité à titre rétroactif), le gain assuré correspondant alors, conformément à l’art. 40b OACI, à la capacité de gain effective de la personne concernée. Or, aucun élément au dossier n’indique que le recourant serait en incapacité de gain. D’ailleurs, on déduit des documents « indications de la personne assurée » pour les mois de mars 2023 à 2024 figurant au dossier que le recourant n’a pas déposé de demande de prestations de l’assurance-invalidité. Enfin le recourant ne saurait être suivi lorsqu’il prétend qu’il devrait être mis au bénéfice du délai d’attente spécial de cinq jours consacré à l’art. 6 al. 2 OACI, en lien avec l’art. 14 al. 1 let. b LACI, ses périodes d’incapacité de travail (à un taux variant entre 20 % et 100 % [cf. lots de certificats médicaux produits le 9 mars à l’ORP]) étant survenues en cours d’emploi et ont par conséquent été prises en compte à titre de période de cotisation aux conditions de l’art. 13 al. 1 et 2 let. c LACI.</w:t>
      </w:r>
    </w:p>
    <w:p>
      <w:r>
        <w:t>- 10 -</w:t>
      </w:r>
    </w:p>
    <w:p>
      <w:r>
        <w:rPr>
          <w:b/>
        </w:rPr>
        <w:t>E. 5</w:t>
      </w:r>
    </w:p>
    <w:p>
      <w:r>
        <w:t>a) En définitive, le recours, mal fondé, doit être rejeté et la décision sur opposition rendue le 28 août 2024 par l’intimée confirmée. b) Il n’y a pas lieu de percevoir de frais judiciaires (art. 61 let. fbis LPGA), ni d’allouer de dépens à la partie recourante, qui n’obtient pas gain de cause et a procédé sans mandataire qualifié (art. 61 let. g LPGA ; ATF 127 V 205 consid. 4b). Par ces motifs, la juge unique p r o n o n c e : I. Le recours est rejeté, dans la mesure de sa recevabilité. II. La décision sur opposition rendue le 28 août 2024 par la Caisse cantonale de chômage est confirmée. III. Il n’est pas perçu de frais judiciaires, ni alloué de dépens. La juge unique : Le greffier : Du L'arrêt qui précède est notifié à : - T.________, à [...], - Caisse cantonale de chômage, Division juridique, à Lausanne, - Secrétariat d’Etat à l’économie, à Berne,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