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ZQ24.039372 vom 27. Februar 2025</w:t>
      </w:r>
    </w:p>
    <w:p>
      <w:r>
        <w:t>VD Tribunal cantonal, 2025-02-27, FR</w:t>
      </w:r>
    </w:p>
    <w:p>
      <w:r>
        <w:rPr>
          <w:b/>
        </w:rPr>
        <w:t xml:space="preserve">Quelle: </w:t>
      </w:r>
      <w:r>
        <w:t>https://mcp.opencaselaw.ch/entscheid/vd_gerichte_ZQ24.039372</w:t>
      </w:r>
    </w:p>
    <w:p>
      <w:r>
        <w:t>FR: VD_GERICHTE ZQ24.039372 du 27 février 2025</w:t>
      </w:r>
    </w:p>
    <w:p>
      <w:r>
        <w:t>IT: VD_GERICHTE ZQ24.039372 del 27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c’est à juste titre que le recourant s’est vu infliger une suspension de trente et un jours de son droit à l’indemnité de chômage, au motif qu’il a refusé un emploi convenable.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c) Le non-respect des devoirs prévus à l’art. 17 LACI peut donner lieu à une suspension du droit à l’indemnité de chômage (art. 30 al. 1 LACI et 45 al. 3 OACI). La suspension du droit à l’indemnité est destinée à poser une limite à l’obligation de l’assurance-chômage d’allouer</w:t>
      </w:r>
    </w:p>
    <w:p>
      <w:r>
        <w:t>- 7 -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w:t>
      </w:r>
    </w:p>
    <w:p>
      <w:r>
        <w:rPr>
          <w:b/>
        </w:rPr>
        <w:t>E. 3.1</w:t>
      </w:r>
    </w:p>
    <w:p>
      <w:r>
        <w:t>et les références).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et 3.3 ; 126 V 353 consid. 5b). En droit des assurances sociales, il n'existe par conséquent pas de principe selon lequel l'administration ou le juge devrait statuer, dans le doute, en faveur de l'assuré (ATF 135 V 39 consid. 6.1 et 126 V 319 consid. 5a).</w:t>
      </w:r>
    </w:p>
    <w:p>
      <w:r>
        <w:rPr>
          <w:b/>
        </w:rPr>
        <w:t>E. 4</w:t>
      </w:r>
    </w:p>
    <w:p>
      <w:r>
        <w:t>En l’occurrence, il est reproché au recourant d’avoir refusé un emploi convenable auprès de S.________ AG à C.________, en ne donnant pas suite à l’assignation du 15 février 2024.</w:t>
      </w:r>
    </w:p>
    <w:p>
      <w:r>
        <w:t>- 8 - a) Pour ce qui est tout d’abord du caractère convenable du poste assigné, il ressort du dossier que l’assignation concernait un poste dans le domaine de la restauration, soit un domaine dans lequel le recourant avait une expérience professionnelle (l’intéressé ayant été auparavant gérant d’un restaurant créole) et cherchait du travail. Rien au dossier ne laisse apparaître que l’emploi assigné n’était pas convenable au sens de l’art. 16 al. 2 LACI, et l’assuré ne le soutient pas. Le recourant fait en revanche valoir qu’il ne s’agit pas d’un refus d’emploi de sa part, mais que le délai pour postuler était trop court compte tenu de son emploi à 50% (gain intermédiaire) et de la nécessité d’utiliser son ordinateur portable pour compléter un formulaire en ligne. Ces explications ne sont pas convaincantes et ne justifient pas le manquement qui lui est reproché. La proposition d’emploi du 15 février 2024 indiquait expressément que l’employeur devait être contacté par le biais d’un formulaire en ligne jusqu’au 17 février 2024. Le recourant, qui ne conteste pas son envoi par l’ORP, ni sa réception, allègue n’avoir pris connaissance du courriel en question que le 17 février 2024 lors de son jour de congé. L’intéressé n’a toutefois pas été en mesure d’expliquer pour quels motifs il avait finalement renoncé à postuler en ligne, alors qu’il avait encore la possibilité de transmettre son dossier de candidature dans le délai fixé, ni pour quel motif sa postulation aurait mis en péril son emploi alors qu’il ne travaillait pas le 17 février 2024. Il appartenait ainsi au recourant de s'organiser de manière à s'assurer de l'envoi de son dossier de candidature par un formulaire en ligne, conformément à l'assignation transmise par sa conseillère ORP le 15 février 2024. On ajoutera que le 15 février 2024, le recourant a effectué une recherche d’emploi par visite personnelle auprès de J.________ SA à U.________ (cf. document preuves des recherches personnelles effectuées en vue de trouver un emploi), ce qui démontre au besoin que ce jour-là, l’intéressé n’était pas occupé toute la journée par son emploi auprès de l’entreprise Z.________ exercé à un taux d’activité de 50%. En définitive, la proposition d’emploi n° [...] reçue le 15 février 2024 contenait la mention des sanctions encourues en cas de non-postulation, de sorte que le recourant</w:t>
      </w:r>
    </w:p>
    <w:p>
      <w:r>
        <w:t>- 9 - a consciemment pris le risque d’être sanctionné au cas où il ne respectait pas le délai de postulation, respectivement ne remettait pas un dossier adéquat et complet. c) Compte tenu de ce qui précède, le recourant a laissé échapper une possibilité concrète de retrouver un emploi convenable. Conformément à la jurisprudence susmentionnée (cf. consid. 3c supra), un tel comportement est assimilable à un refus d'emploi et entraine une suspension du droit à l'indemnité de chômage (art. 30 al. 1 let. d LACI).</w:t>
      </w:r>
    </w:p>
    <w:p>
      <w:r>
        <w:rPr>
          <w:b/>
        </w:rPr>
        <w:t>E. 5</w:t>
      </w:r>
    </w:p>
    <w:p>
      <w:r>
        <w:t>La suspension étant fondée dans son principe, il reste à examiner la quotité de la sanction. a)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 et un à soixante jours en cas de faute grave (art. 45 al. 3 let. a à c OACI).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b) En tant qu’autorité de surveillance, le Secrétariat d’Etat à l’économie (SECO) a adopté un barème (indicatif) à l’intention des organes d’exécution qui prévoit, en cas de refus d'un emploi convenable ou d'un emploi en gain intermédiaire à durée indéterminée assigné à l'assuré ou qu'il a trouvé lui-même, une suspension de trente et un à quarante-cinq jours lors du premier manquement (cf. Bulletin LACI IC / D79 2.B/1). Un tel barème constitue un instrument précieux pour ces organes d’exécution lors de la fixation de la sanction et contribue à une application plus</w:t>
      </w:r>
    </w:p>
    <w:p>
      <w:r>
        <w:t>- 10 -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En l’espèce, l’intimée a qualifié de grave la faute commise par le recourant et a confirmé la durée de suspension. En l’absence de circonstances particulières, l’intimée n’a pas commis un abus ou un excès de son pouvoir d’appréciation en infligeant à l’intéressé une suspension de son droit à l’indemnité de chômage pour une durée de trente et un jours, ce qui correspond au minimum légal prévu en cas de faute grave (art. 45 al. 3 let. c OACI) et à celui prévu par le barème du SECO en cas de premier manquement (Bulletin LACI IC, chiffre D79 2.B/1), cela, quand bien même le recourant n’a pas toujours eu un comportement exemplaire depuis son inscription au chômage ce qui lui a valu une suspension de cinq jours pour absence de recherches d’emploi avant l’inscription au chômage (cf. décision du 26 octobre 2022). Par ailleurs, le fait qu’il a démontré sa motivation en répondant le 19 avril 2024 à une nouvelle assignation de l’ORP, ne permet pas de renoncer à la sanction ni d’en tenir compte dans la fixation de la quotité de la sanction, puisque toute personne au chômage a l’obligation de répondre à une assignation de l’ORP dans le délai utile et que tout refus d’emploi convenable ultérieur doit dans tous les cas être sanctionné. Finalement, l’absence de candidature a pour corollaire que l’objet de la sanction infligée réside dans le fait que le recourant s’est accommodé du risque que l’emploi qui lui avait été assigné soit occupé par quelqu’un d’autre. La suspension du droit à l’indemnité de chômage n’apparaît ainsi pas critiquable ni excessive dans sa quotité. Elle doit être confirmée. d) L’intimée a retenu que, compte tenu du salaire proposé soit 3'177 fr. à 80%, l’emploi proposé n’aurait pas permis au recourant de sortir du chômage et que la suspension ne devait être exécutée qu’à concurrence de la différence entre le montant de l’indemnité journalière à</w:t>
      </w:r>
    </w:p>
    <w:p>
      <w:r>
        <w:t>- 11 - laquelle il a droit et celui de l’indemnité compensatoire qu’il aurait touchée s’il avait été engagé. Ce raisonnement, que le recourant ne conteste pas, n’est pas critiquable et doit être confirmé.</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 ; ATF 127 V 205 consid. 4b). Par ces motifs, la juge unique p r o n o n c e : I. Le recours est rejeté. II. La décision sur opposition rendue le 24 juillet 2024 par la Direction générale de l’emploi et du marché du travail est confirmée. III. Il n’est pas perçu de frais judiciaires, ni alloué de dépens. La juge unique : Le greffier :</w:t>
      </w:r>
    </w:p>
    <w:p>
      <w:r>
        <w:t>- 12 - Du L'arrêt qui précède est notifié à : - Mme Loane Membrez, agente d’affaires brevetée (pour X.________),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