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ZQ24.038938 vom 27. Januar 2025</w:t>
      </w:r>
    </w:p>
    <w:p>
      <w:r>
        <w:t>VD Tribunal cantonal, 2025-01-27, FR</w:t>
      </w:r>
    </w:p>
    <w:p>
      <w:r>
        <w:rPr>
          <w:b/>
        </w:rPr>
        <w:t xml:space="preserve">Quelle: </w:t>
      </w:r>
      <w:r>
        <w:t>https://mcp.opencaselaw.ch/entscheid/vd_gerichte_ZQ24.038938</w:t>
      </w:r>
    </w:p>
    <w:p>
      <w:r>
        <w:t>FR: VD_GERICHTE ZQ24.038938 du 27 janvier 2025</w:t>
      </w:r>
    </w:p>
    <w:p>
      <w:r>
        <w:t>IT: VD_GERICHTE ZQ24.038938 del 27 gennaio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point de savoir si l’intimée était fondée à suspendre le droit de la recourante à l’indemnité de chômage pour une durée de cinq jours à compter du 1er mai 2024, au motif qu’elle n’avait pas</w:t>
      </w:r>
    </w:p>
    <w:p>
      <w:r>
        <w:t>- 5 - transmis, dans le délai légal, ses justificatifs de recherches d’emploi pour le mois d’avril 2024.</w:t>
      </w:r>
    </w:p>
    <w:p>
      <w:r>
        <w:rPr>
          <w:b/>
        </w:rPr>
        <w:t>E. 3</w:t>
      </w:r>
    </w:p>
    <w:p>
      <w:r>
        <w:t>a) Le droit à l’indemnité de chômage a pour corollaire un certain nombre de devoirs, qui découlent de l’obligation générale des assurés de réduire le dommage et d’éviter le chômage (ATF 124 V 225 consid. 2b et les références citées ; TF 8C_683/2021 du 13 juillet 2022 consid. 3.3.3). Les personnes qui revendiquent des prestations de l’assurance-chômage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Le non-respect des devoirs prévus à l’art. 17 LACI peut donner lieu à une suspension du droit à l’indemnité de chômage (art. 30 al. 1 LACI et 45 al. 3 OACI). La suspension du droit à l’indemnité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 Selon l’art. 26 al. 2 OACI, l’assuré doit remettre la preuve de ses recherches d’emploi pour chaque période de contrôle au plus tard le cinq du mois suivant ou le premier jour ouvrable qui suit cette date. A l’expiration de ce délai, et en l’absence d’excuse valable, les recherches</w:t>
      </w:r>
    </w:p>
    <w:p>
      <w:r>
        <w:t>- 6 - d’emploi ne sont plus prises en considération (ATF 145 V 90 consid. 3.1). Un délai supplémentaire au sens de l’art. 43 al. 3 LPGA n’a pas à être accordé, la sanction ne reposant en l’occurrence que sur l’art. 30 al. 1 let. c LACI, en corrélation avec l’art. 17 al. 1 LACI et les dispositions de l’OACI relatives aux recherches d’emploi. La sanction se justifie dès le premier manquement, et cela sans exception (TF 8C_537/2013 du 16 avril 2014 consid. 3 ; 8C_885/2012 et 8C_886/2012 du 2 juillet 2013 consid. 5). Il en résulte ainsi que, sauf excuse valable, une suspension du droit à l’indemnité peut être prononcée si les preuves ne sont pas fournies dans le délai de l’art. 26 al. 2 OACI, sans qu’un délai supplémentaire ne doive être imparti ; peu importe que les preuves soient produites ultérieurement, par exemple dans une procédure d’opposition (ATF 139 V 164 consid. 3.3 ; TF 8C_365/2016 du 3 mars 2017 consid. 3.2 et la référence citée).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Selon l'article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9C_387/2014 du 10 septembre 2014 consid. 4.2 ; TF 9C_209/2012 du 26 juin 2012 consid. 3.1).</w:t>
      </w:r>
    </w:p>
    <w:p>
      <w:r>
        <w:rPr>
          <w:b/>
        </w:rPr>
        <w:t>E. 4</w:t>
      </w:r>
    </w:p>
    <w:p>
      <w:r>
        <w:t>a) Dans le domaine des assurances sociales, le juge fonde sa décision, sauf dispositions contraires de la loi, sur les faits qui, faute d’être</w:t>
      </w:r>
    </w:p>
    <w:p>
      <w:r>
        <w:t>- 7 -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3.2 139 V 176 consid. 5.3 et les références citées). Il n’existe aucun principe juridique dictant à l’administration ou au juge de statuer en faveur de l’assuré en cas de doute (ATF 135 V 39 consid. 6.1 et les références). b) En matière d’indemnités de chômage, l’assuré supporte les conséquences de l’absence de preuve en ce qui concerne la remise de pièces nécessaires pour faire valoir le droit à l’indemnité (TF 8C_460/2013 du 16 avril 2014 consid. 3 ; TF 8C_537/2013 du 16 avril 2014 consid. 2). La partie qui doit accomplir un acte doit démontrer qu’elle l’a entrepris à temps.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(Rubin, op. cit., n° 32 ad art. 17 LACI). En outre, le dépôt, en procédure, de la copie d’une pièce ne dit rien sur la remise de l’original à l’autorité (ATF 145 V 90 consid. 3.2 et la référence citée).</w:t>
      </w:r>
    </w:p>
    <w:p>
      <w:r>
        <w:rPr>
          <w:b/>
        </w:rPr>
        <w:t>E. 5</w:t>
      </w:r>
    </w:p>
    <w:p>
      <w:r>
        <w:t>En l’espèce, l’intimée a prononcé une suspension du droit de l’assurée à l’indemnité de chômage durant cinq jours au motif qu’elle n’avait pas fait de recherches d’emploi au mois d’avril 2024, respectivement qu’elle ne les avait pas transmises dans le délai légal, ceci sans excuse valable. De son côté, la recourante allègue avoir transmis ses recherches d’emploi pour le mois litigieux le 24 avril 2024, via la plateforme Job-Room. Cela étant, force est de constater que la recourante n’a en l’occurrence pas réussi à établir, ou à tout le moins à rendre</w:t>
      </w:r>
    </w:p>
    <w:p>
      <w:r>
        <w:t>- 8 - vraisemblable, avoir transmis – via Job-Room ou un autre moyen – le formulaire relatif à ses recherches d’emploi du mois d’avril 2024 dans le délai légal. A cet égard, il y a en particulier lieu de relever que le document litigieux n’a figuré au dossier de l’ORP de [...] qu’en date du 23 mai 2024. L’intéressée a produit, à l’appui de son opposition ainsi que de son recours, une photo du formulaire contenant ses recherches d’emploi pour le mois concerné, datée du 24 avril 2024. S’il apparaît vraisemblable que l’assurée a effectivement réalisé ses recherches d’emploi aux dates renseignées dans le formulaire, les pièces produites ne sont en revanche pas propres à fournir une quelconque indication sur la remise du formulaire à l’autorité, ni sur la date effective de la remise. On ne saurait dès lors retenir sur cette base que la recourante a apporté la preuve du dépôt du formulaire en question dans le délai légal. Ainsi, faute de preuve fondée sur des éléments matériels, les allégations de la recourante ne constituent pas un faisceau d’indices suffisants de la remise dans le délai légal du formulaire de recherches d’emploi à l’ORP (TF 8C_537/2013 du 16 avril 2014 consid. 2 ; 8C_46/2012 du 8 mai 2012 consid. 4.2 et références citées). La recourante n’invoque du reste pas de motifs qui l’auraient empêchée, respectivement dispensée de transmettre le formulaire dans le délai légal. L’intimée était donc fondée à considérer que le formulaire de recherches d’emploi litigieux n’était pas parvenu à l’ORP en temps utile à teneur de l’art. 26 al. 2 OACI et à en tirer les conséquences juridiques sur le droit à l’indemnité du recourant selon l’art. 30 al. 1 let. c LACI mis en corrélation avec l’art. 17 al. 1 LACI (cf. consid. 3 supra).</w:t>
      </w:r>
    </w:p>
    <w:p>
      <w:r>
        <w:rPr>
          <w:b/>
        </w:rPr>
        <w:t>E. 6</w:t>
      </w:r>
    </w:p>
    <w:p>
      <w:r>
        <w:t>La sanction devant ainsi être confirmée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w:t>
      </w:r>
    </w:p>
    <w:p>
      <w:r>
        <w:t>- 9 - gravité moyenne (let. b) et de trente et un à soixante jours en cas de faute grave (let.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du recourant au regard de ses devoirs généraux d’assuré qui fait valoir son droit à des prestations (TF 8C_708/2019 du 10 janvier 2020 consid. 4.1 et la référence citée). S’agissant de l’absence de recherche pendant la période de contrôle, respectivement de la remise tardive de recherches d'emploi, le barème du SECO prévoit une suspension de cinq à neuf jours lorsqu'il s'agit de la première fois (Bulletin LACI IC, D79 1.D/1 et 1.E/1). b) En l'espèce, l'intimée a retenu une faute légère au sens de l'art. 45 al. 3 OACI et prononcé une suspension de cinq jours, correspondant à la quotité minimale de la sanction prévue par le barème du SECO dans le cas d'un premier manquement pour absence de recherche pendant la période de contrôle, respectivement pour remise tardive de recherches d'emploi, étant mentionné à cet égard que la remise tardive des preuves des recherches d’emploi est pratiquement assimilée à l’absence de recherches d’emploi (ATF 133 V 89 consid. 6.2 ; Rubin, op. cit. n° 30 ad art. 17). Partant, la durée de la suspension n’apparaît pas disproportionnée compte tenu des circonstances du cas d’espèce, si bien qu’il y a lieu de la confirmer. Pour le surplus, c’est le lieu de rappeler que la situation financière précaire de la recourante ne joue aucun rôle dans l’évaluation de sa faute (Boris Rubin, op. cit., n° 109 ad art. 30 LACI ; cf. aussi TFA C</w:t>
      </w:r>
    </w:p>
    <w:p>
      <w:r>
        <w:t>- 10 - 21/05 du 26 septembre 2005 consid. 6) et ne saurait ainsi avoir d’incidence sous l’angle de la quotité de la sanction.</w:t>
      </w:r>
    </w:p>
    <w:p>
      <w:r>
        <w:rPr>
          <w:b/>
        </w:rPr>
        <w:t>E. 7</w:t>
      </w:r>
    </w:p>
    <w:p>
      <w:r>
        <w:t>a) En définitive, la sanction prononcée par l’intimée est justifiée tant dans son principe que dans sa quotité. Il s’ensuit que le recours, mal fondé, doit être rejeté et la décision sur opposition querellée confirmée. b) Il n’y a pas lieu de percevoir de frais judiciaires (art. 61 let. fbis LPGA), ni d’allouer de dépens à la recourante, qui n’obtient pas gain de cause (art. 61 let. g LPGA). Par ces motifs, la juge unique p r o n o n c e : I. Le recours est rejeté. II. La décision sur opposition rendue le 19 août 2024 par la Direction générale de l'emploi et du marché du travail est confirmée. III. Il n’est pas perçu de frais judiciaires, ni alloué de dépens. La juge unique : Le greffier : Du L'arrêt qui précède est notifié à : - T.________, - Direction générale de l'emploi et du marché du travail, - Secrétariat d'Etat à l'économie,</w:t>
      </w:r>
    </w:p>
    <w:p>
      <w:r>
        <w:t>- 11 -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