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ZQ24.038490 vom 4. Dezember 2024</w:t>
      </w:r>
    </w:p>
    <w:p>
      <w:r>
        <w:t>VD Tribunal cantonal, 2024-12-04, FR</w:t>
      </w:r>
    </w:p>
    <w:p>
      <w:r>
        <w:rPr>
          <w:b/>
        </w:rPr>
        <w:t xml:space="preserve">Quelle: </w:t>
      </w:r>
      <w:r>
        <w:t>https://mcp.opencaselaw.ch/entscheid/vd_gerichte_ZQ24.038490</w:t>
      </w:r>
    </w:p>
    <w:p>
      <w:r>
        <w:t>FR: VD_GERICHTE ZQ24.038490 du 4 décembre 2024</w:t>
      </w:r>
    </w:p>
    <w:p>
      <w:r>
        <w:t>IT: VD_GERICHTE ZQ24.038490 del 4 dicembre 2024</w:t>
      </w:r>
    </w:p>
    <w:p>
      <w:pPr>
        <w:pStyle w:val="Heading2"/>
      </w:pPr>
      <w:r>
        <w:t>Erwägungen</w:t>
      </w:r>
    </w:p>
    <w:p>
      <w:r>
        <w:rPr>
          <w:b/>
        </w:rPr>
        <w:t>E. 1</w:t>
      </w:r>
    </w:p>
    <w:p>
      <w:r>
        <w:t>a) La LPGA (loi fédérale du 6 octobre 2000 sur la partie générale du droit des assurances sociales ; RS 830.1) est, sauf dérogation</w:t>
      </w:r>
    </w:p>
    <w:p>
      <w:r>
        <w:t>- 4 -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question de savoir si c’est à juste titre que la recourante s’est vu infliger une suspension de trente et un jours de son droit à l’indemnité de chômage, au motif qu’elle a refusé un emploi convenable.</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b) Aux termes de l’art. 17 al. 1, première et deuxième phrases, LACI, l’assuré qui fait valoir des prestations d’assurance doit,</w:t>
      </w:r>
    </w:p>
    <w:p>
      <w:r>
        <w:t>- 5 -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c)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 personne assurée refuse expressément un travail convenable qui lui est assigné, mais également déjà lorsqu’elle s’accommode du risque que l’emploi soit occupé par quelqu’un d’autre ou fait échouer la perspective de conclure un contrat de travail (ATF 122 V 34 consid. 3 ; TF 8C_756/2020 du 3 août 2021 consid.</w:t>
      </w:r>
    </w:p>
    <w:p>
      <w:r>
        <w:rPr>
          <w:b/>
        </w:rPr>
        <w:t>E. 3.1</w:t>
      </w:r>
    </w:p>
    <w:p>
      <w:r>
        <w:t>et les références).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- 6 -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e) En l’occurrence, la recourante conçoit d’être pénalisée pour son « manquement involontaire » de postuler à l’emploi assigné le 13 mars 2024 par l’ORP. A sa décharge, elle soutient qu’elle pensait avoir fait les choses correctement, en postulant à une offre trouvée sur Internet qu’elle croyait être celle figurant dans l’assignation reçue de l’ORP. La recourante était tenue de s'organiser de manière à s'assurer de l'envoi de son dossier de candidature, conformément à l'assignation écrite du 13 mars 2024. Or malgré ses explications, l’intéressée n’avait pas la certitude d’avoir donné suite à la bonne offre d’emploi, ce qu’il lui appartenait de vérifier en contactant son conseiller ORP. La proposition d’emploi n° [...] reçue le 13 mars 2024 contenait la mention des sanctions encourues en cas de non-postulation, de sorte que la recourante a consciemment pris le risque d’être sanctionnée au cas où l’emploi trouvé sur Internet n’était pas le même que celui assigné auprès de la société A._________ Sàrl. En outre, la recourante invoque être affectée d’un trouble du déficit de l’attention avec ou sans hyperactivité qu’elle n’établit pas au moyen d’un certificat médical. On ne saurait donc retenir qu’elle a été dans l’incapacité de donner suite à l’assignation écrite du 13 mars 2024 pour des raisons médicales. Du reste, même si tel serait le cas, on pouvait cependant attendre de la recourante qu’elle s’organise de façon à s’assurer (cas échéant en sollicitant l’aide auprès d’un proche ou de son conseiller ORP) de l’envoi du dossier de candidature par courriel à l’adresse électronique « [...].ch » dans le délai fixé au 15 mars 2024. Ainsi quand bien même la recourante allègue ne pas avoir délibérément refusé le poste en cause, son comportement négligent revient à retenir qu'elle n'a pas respecté les instructions de l'autorité compétente.</w:t>
      </w:r>
    </w:p>
    <w:p>
      <w:r>
        <w:t>- 7 - Compte tenu de ce qui précède, la recourante a laissé échapper une possibilité concrète de retrouver un emploi convenable. Conformément à la jurisprudence susmentionnée (cf. consid. 3c supra), un tel comportement est assimilable à un refus d'emploi et entraine une suspension du droit à l'indemnité de chômage (art. 30 al. 1 let. d LACI). C’est dès lors à juste titre que l’intimée a confirmé la suspension du droit à l’indemnité de chômage prononcée par le Pôle suspension du droit pour refus d’emploi convenable.</w:t>
      </w:r>
    </w:p>
    <w:p>
      <w:r>
        <w:rPr>
          <w:b/>
        </w:rPr>
        <w:t>E. 4</w:t>
      </w:r>
    </w:p>
    <w:p>
      <w:r>
        <w:t>La suspension étant fondée dans son principe, il reste à examiner la quotité de la sanction. a) En vertu de l'art. 30 al. 3 LACI, la durée de la suspension est proportionnelle à la gravité de la faute et ne peut excéder, par motif de suspension, soixante jours. Elle est de un à quinze jours en cas de faute légère, de seize à trente jours en cas de faute de gravité moyenne et de trente et un à soixante jours en cas de faute grave (art. 45 al. 3 let. a à c OACI). Aux termes de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130 V 125 consid. 3.5 ; TF 8C_313/2021 du 3 août 2021 consid. 4.2). b) En tant qu’autorité de surveillance, le Secrétariat d’Etat à l’économie (SECO) a adopté un barème (indicatif) à l’intention des organes d’exécution qui prévoit, en cas de refus d'un emploi convenable ou d'un emploi en gain intermédiaire à durée indéterminée assigné à l'assuré ou qu'il a trouvé lui-même, une suspension de trente et un à quarante-cinq jours lors du premier manquement (cf. Bulletin LACI IC / D79 2.B/1). Un tel barème constitue un instrument précieux pour ces organes d’exécution lors de la fixation de la sanction et contribue à une application plus</w:t>
      </w:r>
    </w:p>
    <w:p>
      <w:r>
        <w:t>- 8 -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c) En l’occurrence, l’intimée a qualifié de grave la faute commise par la recourante et a confirmé la suspension de son droit à l’indemnité de chômage pour une durée de trente et un jours décidée par le Pôle suspension du droit. La recourante estime que la suspension de trente et un jours confirmée par l’intimée est trop sévère, considérant qu’elle n’a pas à être sanctionnée comme une personne qui aurait refusé une offre d’emploi assignée par l’ORP. Elle relève en outre avoir toujours respecté les instructions du chômage et avoir trouvé un emploi au mois de juin 2024 et se plaint du fait que la sanction infligée la met dans une situation financière délicate étant « maman solo avec 5 enfants ». Comme vu précédemment, la jurisprudence assimile le comportement de la recourante à un refus de travail convenable. Cette dernière doit donc être sanctionnée sur cette base, de sorte que c’est à juste titre que sa faute a été considérée comme étant grave. En l’absence de circonstances particulières, celles invoquées par la recourante, en particulier sa situation financière précaire, ne constituant pas un motif susceptible d’influencer sur la gravité de la faute commise, il ne saurait être retenu que l'intimée a commis un abus ou un excès de son pouvoir d’appréciation en infligeant à l’intéressée une suspension de son droit à l’indemnité de chômage pour une durée de trente et un jours, ce qui correspond au minimum prévu par le barème du SECO en cas de premier manquement (cf. Bulletin LACI IC / D79 2.B/1). On relèvera encore que le fait que la recourante ait trouvé un emploi peu après ne pas avoir répondu à l’assignation du 13 mars 2024 n’est pas déterminant car cette absence de candidature, respectivement l’absence</w:t>
      </w:r>
    </w:p>
    <w:p>
      <w:r>
        <w:t>- 9 - de vérification auprès du conseiller ORP de l’envoi de celle-ci pour ledit poste, a pour corollaire que l’objet de la sanction infligée réside dans le fait que la recourante s’est accommodée du risque que l’emploi qui lui avait été assigné soit occupé par quelqu’un d’autre. La suspension d’une durée de trente et un jours respecte ainsi le principe de proportionnalité et est conforme à l’art. 45 al. 4 let. b OACI, de sorte qu'elle doit être confirmée.</w:t>
      </w:r>
    </w:p>
    <w:p>
      <w:r>
        <w:rPr>
          <w:b/>
        </w:rPr>
        <w:t>E. 5</w:t>
      </w:r>
    </w:p>
    <w:p>
      <w:r>
        <w:t>a) En définitive, le recours, mal fondé, doit être rejeté et la décision sur opposition attaquée confirmée. b) Il n’y a pas lieu de percevoir de frais judiciaires (art. 61 let. fbis LPGA), ni d’allouer de dépens à la recourante, qui n’obtient pas gain de cause et a procédé sans mandataire qualifié (art. 61 let. g LPGA ; ATF 127 V 205 consid. 4b). Par ces motifs, le juge unique p r o n o n c e : I. Le recours est rejeté.</w:t>
      </w:r>
    </w:p>
    <w:p>
      <w:r>
        <w:t>- 10 - II. La décision sur opposition rendue le 21 août 2024 par la Direction générale de l’emploi et du marché du travail est confirmée. III. Il n’est pas perçu de frais judiciaires, ni alloué de dépens. Le juge unique : Le greffier : Du L'arrêt qui précède est notifié à : - X.________,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