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ZQ24.026146 vom 21. Januar 2025</w:t>
      </w:r>
    </w:p>
    <w:p>
      <w:r>
        <w:t>VD Tribunal cantonal, 2025-01-21, FR</w:t>
      </w:r>
    </w:p>
    <w:p>
      <w:r>
        <w:rPr>
          <w:b/>
        </w:rPr>
        <w:t xml:space="preserve">Quelle: </w:t>
      </w:r>
      <w:r>
        <w:t>https://mcp.opencaselaw.ch/entscheid/vd_gerichte_ZQ24.026146</w:t>
      </w:r>
    </w:p>
    <w:p>
      <w:r>
        <w:t>FR: VD_GERICHTE ZQ24.026146 du 21 janvier 2025</w:t>
      </w:r>
    </w:p>
    <w:p>
      <w:r>
        <w:t>IT: VD_GERICHTE ZQ24.026146 del 21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w:t>
      </w:r>
    </w:p>
    <w:p>
      <w:r>
        <w:rPr>
          <w:b/>
        </w:rPr>
        <w:t>E. 2</w:t>
      </w:r>
    </w:p>
    <w:p>
      <w:r>
        <w:t>Le litige porte sur le bienfondé de la décision de suspension en raison d’une situation de chômage fautif.</w:t>
      </w:r>
    </w:p>
    <w:p>
      <w:r>
        <w:rPr>
          <w:b/>
        </w:rPr>
        <w:t>E. 3</w:t>
      </w:r>
    </w:p>
    <w:p>
      <w:r>
        <w:t>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La suspension prévue par l’art. 44 al. 1 let. b OACI est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Genève/Zürich/Bâle 2014, n. 32 ss ad art. 30 LACI).</w:t>
      </w:r>
    </w:p>
    <w:p>
      <w:r>
        <w:t>- 9 - c)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(Rubin, op. cit., n. 37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w:t>
      </w:r>
    </w:p>
    <w:p>
      <w:r>
        <w:t>- 10 - TF 8C_12/2010 du 4 mai 2010 consid. 3.1 ; Rubin, op. cit., n° 37 ad art. 30 LACI et les références citées). d)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Enfin, lorsque l'employeur doit prendre des mesures pour empêcher que le travailleur ne subisse une atteinte, celui-ci peut en exiger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s’il agit néanmoins de la sorte, réputé sans travail par sa propre faute (TFA C 302/01 du 4 février 2003 consid. 3.3).</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En l’espèce, il est constant que la recourante a résilié son contrat de travail auprès de W.________, dans un délai de préavis volontairement prolongé et sans s’être préalablement assurée d’obtenir un emploi subséquent.</w:t>
      </w:r>
    </w:p>
    <w:p>
      <w:r>
        <w:t>- 12 - a) Dans sa demande d’indemnités du 5 septembre 2023, la recourante a indiqué qu’elle avait résilié son contrat de travail parce que celui-ci ne correspondait pas à son profil ni à ses attentes, raison qu’elle avait donnée dans sa lettre de résiliation. Il est manifeste qu’il ne s’agit pas d’un motif suffisant pour justifier la résiliation d’un contrat de travail réputé convenable sans être assuré d’en obtenir un autre, ce qu’a constaté l’intimée dans sa décision du 12 octobre 2023. b) Dans un second temps, la recourante a expliqué qu’elle avait donné son congé pour des motifs de santé, après avoir pris sur elle durant plusieurs mois pour continuer à travailler malgré le mobbing dont elle était victime. La jurisprudence prévoit, en règle générale, de privilégier les premières déclarations d’un assuré. L’intimée a néanmoins instruit cette nouvelle argumentation, en donnant l’occasion à la recourante de l’étayer en procédure d’opposition. Elle est finalement arrivée à la conclusion que les éléments d’un juste motif n’étaient pas réalisés. Son analyse doit être validée. En effet, il faut constater que les problèmes de santé qui auraient amené la recourante à présenter sa démission ne sont pas suffisamment étayés. Dans son recours, l’intéressée a expliqué avoir parlé de ses problèmes au travail à son médecin lors d’une consultation médicale de février 2023 motivée prioritairement par une atteinte somatique, mais qu’elle n’avait pas souhaité de traitement médicamenteux ni d’arrêt de travail. Or, dans son rapport du 22 mars 2024, le Dr I.________ a fait part d’une première consultation sur ce sujet le 2 juin 2023 seulement, date postérieure à la démission. Aucun traitement ou suivi spécifique n’a été mis en place à ce moment-là, ni ultérieurement. Le médecin traitant a par ailleurs confirmé qu’il n’avait délivré aucun arrêt de travail, que ce soit avant ou après la démission. Outre le fait que les rapports du Dr I.________ ont été rédigés plusieurs mois après la démission, ce qui limite fortement leur valeur probante au regard de la jurisprudence, il faut également relever que le médecin traitant s’est montré particulièrement succinct,</w:t>
      </w:r>
    </w:p>
    <w:p>
      <w:r>
        <w:t>- 13 - également lorsque l’intimée a sollicité des informations complémentaires. Ainsi, dans le rapport du 22 mars 2024, les constatations médicales sont réduites à trois éléments : perte de confiance, anhédonie et déception, et aucun diagnostic n’est posé, étant en outre relevé que la déception n’est pas un symptôme médical. Le Dr I.________ a évoqué un risque de péjoration vers un état dépressif, sans toutefois étayer ce pronostic. Dans les réponses données le 30 avril 2024 aux questions complémentaires de l’intimée, le médecin s’est limité à mettre en avant la volonté de sa patiente de rester discrète pour préserver son avenir professionnel. Il n’a ainsi pas développé les motifs d’ordre purement médicaux qui plaidaient en faveur d’un arrêt de travail, voire d’une démission. La nécessité de mettre fin au contrat de travail pour des motifs médicaux n'est en conséquence pas démontrée. La situation de mobbing mentionnée par la recourante n’est pas davantage établie, dès lors qu’elle n’a pu donner, à titre d’exemples précédant sa démission, que cinq incidents relativement anodins étalés sur une dizaine de mois. En particulier, les échanges de messages instantanés de janvier 2023 ne montrent pas que l’employeur aurait exigé que la recourante se rende sur son lieu de travail en dehors des horaires convenus, ni même qu’il y aurait eu une répétition inacceptable de sollicitations hors des heures de travail. Il n’en ressort en outre aucun propos malveillant. L’absence de réponse au message de la recourante du 22 mai 2023 ne permet pas non plus de considérer qu’elle aurait été systématiquement ignorée par sa directrice. Les deux courriels des 3 et 12 mai 2023 ont été écrits par la recourante et montrent tout au plus que la directrice n’a pas approuvé un projet présenté par la recourante. Dans l’échange du 25 mai 2023, qui concerne l’entrevue prévue pour discuter du salaire, le courriel de la directrice ne contient pas de jugement de valeur sur le bienfondé de la démarche de la recourante. Les autres courriels sont postérieurs à la résiliation et portent sur le certificat de travail. Il en ressort que le désaccord porte sur la description du travail accompli, mais non sur l’appréciation du travail effectué. Ces courriels sont dépourvus de propos dénigrants et s’il est vrai que la directrice a fait allusion à des « difficultés », elle a précisé, à la demande de la recourante,</w:t>
      </w:r>
    </w:p>
    <w:p>
      <w:r>
        <w:t>- 14 - qu’il s’agissait de désaccords sur des questions professionnelles. La recourante n’a donné aucune description supplémentaire des agissements dont elle se plaint dans ses différentes écritures, en dehors d’une mauvaise volonté affichée pour répondre à sa demande d’augmentation de salaire. A cela s’ajoute que la recourante n’a rien entrepris, avant de présenter sa démission, pour tenter de faire cesser les agissements qui la dérangeaient. Elle a ainsi admis n’avoir pris contact avec la « Personne de Confiance en Entreprise » qu’en juillet 2023, en vue de régler le désaccord sur le contenu du certificat de travail. Les critères posés par la jurisprudence pour admettre que les conditions de travail de la recourante justifiaient une résiliation immédiate des rapports de travail ne sont donc pas réunis. Par ailleurs, les raisons données par la recourante pour expliquer l’absence de démarches auprès de son employeur ou de la « Personne de Confiance en Entreprise » pour améliorer l’atmosphère de travail, le fait qu’elle n’a pas subi d’arrêt de travail et le délai de résiliation volontairement allongé, tendent au contraire à démontrer que la recourante pouvait faire l’effort de garder son emploi jusqu’à ce qu’elle en trouve un autre. c) Ainsi, la recourante a échoué à rendre vraisemblable l’existence d’une situation de mobbing ou d’un motif d’ordre médical pour justifier l’abandon de son emploi. Corollairement, il était raisonnablement exigible qu’elle le conserve dans l’attente de trouver un nouveau poste de travail, ce qui aurait permis d’éviter le recours à l’assurance-chômage ou à tout le moins de le réduire. L’intimée était ainsi fondée à prononcer une suspension du droit à l’indemnité de la recourante. Il reste à en examiner la quotité.</w:t>
      </w:r>
    </w:p>
    <w:p>
      <w:r>
        <w:rPr>
          <w:b/>
        </w:rPr>
        <w:t>E. 6</w:t>
      </w:r>
    </w:p>
    <w:p>
      <w:r>
        <w:t>a) En vertu de l’art. 30 al. 3 LACI, la durée de la suspension est proportionnelle à la gravité de la faute et ne peut excéder soixante jours par motif de suspension. Selon l’art. 45 al. 3 OACI, la durée de la suspension dans l’exercice du droit à l’indemnité est d’un à quinze jours en cas de faute légère (let. a), de seize à trente jours en cas de faute de gravité moyenne (let. b) et de trente et un à soixante jours en cas de faute grave (let. c).</w:t>
      </w:r>
    </w:p>
    <w:p>
      <w:r>
        <w:t>- 15 -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150 consid. 3c ; Rubin, op. cit. n° 118 ad. art. 30 LACI ; Bulletin LACI IC, D75 1.D et D77).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w:t>
      </w:r>
    </w:p>
    <w:p>
      <w:r>
        <w:t>- 16 - b) En l’espèce, la durée de la suspension a été fixée à trente et un jours, soit la durée minimale prévue par l’art. 45 al. 3 let. c OACI pour sanctionner une faute grave. L’abandon d’emploi étant constitutif d’une faute grave en vertu de l’art. 45 al. 4 OACI, il apparaît ainsi que l’autorité intimée n’a pas retenu d’élément aggravant, mais qu’elle n’a pas non plus admis de circonstance susceptible de qualifier la faute de moyenne. Aucun élément du dossier ne permet de s’écarter de la faute grave, la recourante n’ayant en particulier pas soulevé d’argument pouvant faire apparaître sa faute comme moyenne ou légère, hypothèse qui ne peut de toute manière être admise qu’exceptionnellement. En particulier, la recourante n’a pas contacté la « Personne de Confiance de l’Entreprise », ni fait part de son ressenti auprès de sa hiérarchie avant de démissionner. Son état de santé n’a pas non plus nécessité de traitement médical, que ce soit avant ou après sa démission. Dans ces circonstances, la suspension prononcée par l’intimée ne paraît pas disproportionnée et doit être confirmée.</w:t>
      </w:r>
    </w:p>
    <w:p>
      <w:r>
        <w:rPr>
          <w:b/>
        </w:rPr>
        <w:t>E. 7</w:t>
      </w:r>
    </w:p>
    <w:p>
      <w:r>
        <w:t>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144 II 427 consid. 3.1.3 ; 141 I 60 consid. 3.3 et les références citées). En l’occurrence, le dossier est complet et permet à la Cour de statuer en toute connaissance de cause. La recourante a proposé d’être entendue comme partie et a évoqué l’audition d’une ancienne employée, mais n’a pas formellement requis la mise en œuvre de telles mesures d’instruction. Celles-ci ne paraissent au demeurant pas nécessaires. En effet, la recourante a eu l’occasion de s’exprimer longuement par écrit. Quant à l’ancienne employée, son témoignage ne paraît pas de nature à corroborer l’existence de motifs justifiant une démission immédiate, étant</w:t>
      </w:r>
    </w:p>
    <w:p>
      <w:r>
        <w:t>- 17 - au surplus relevé qu’il faudrait tenir compte du fait qu’elle a été licenciée entretemps.</w:t>
      </w:r>
    </w:p>
    <w:p>
      <w:r>
        <w:rPr>
          <w:b/>
        </w:rPr>
        <w:t>E. 8</w:t>
      </w:r>
    </w:p>
    <w:p>
      <w:r>
        <w:t>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14 mai 2024 par la Caisse G.________ est confirmée. III. Il n’est pas perçu de frais judiciaires, ni alloué de dépens. La juge unique : La greffière : Du L'arrêt qui précède est notifié à : - D.________, - Caisse G.________, - Secrétariat d'Etat à l'économie,</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