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ZQ24.025176 vom 7. Oktober 2024</w:t>
      </w:r>
    </w:p>
    <w:p>
      <w:r>
        <w:t>VD Tribunal cantonal, 2024-10-07, FR</w:t>
      </w:r>
    </w:p>
    <w:p>
      <w:r>
        <w:rPr>
          <w:b/>
        </w:rPr>
        <w:t xml:space="preserve">Quelle: </w:t>
      </w:r>
      <w:r>
        <w:t>https://mcp.opencaselaw.ch/entscheid/vd_gerichte_ZQ24.025176</w:t>
      </w:r>
    </w:p>
    <w:p>
      <w:r>
        <w:t>FR: VD_GERICHTE ZQ24.025176 du 7 octobre 2024</w:t>
      </w:r>
    </w:p>
    <w:p>
      <w:r>
        <w:t>IT: VD_GERICHTE ZQ24.025176 del 7 ottobre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w:t>
      </w:r>
    </w:p>
    <w:p>
      <w:r>
        <w:t>- 4 -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30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(8'256 fr. 35) inférieure à 30’000 fr., la cause est de la compétence du juge unique (art. 94 al. 1 let. a LPA-VD).</w:t>
      </w:r>
    </w:p>
    <w:p>
      <w:r>
        <w:rPr>
          <w:b/>
        </w:rPr>
        <w:t>E. 2</w:t>
      </w:r>
    </w:p>
    <w:p>
      <w:r>
        <w:t>Le litige porte sur le point de savoir si la Caisse était fondée à réclamer à la recourante la somme de 8'256 fr. 35 qu’elle aurait perçue indûment compte tenu des revenus touchés dans le cadre de son gain intermédiaire pour les mois de décembre 2022, janvier, février et juillet 2023.</w:t>
      </w:r>
    </w:p>
    <w:p>
      <w:r>
        <w:rPr>
          <w:b/>
        </w:rPr>
        <w:t>E. 3</w:t>
      </w:r>
    </w:p>
    <w:p>
      <w:r>
        <w:t>a) Selon l’art. 95 al. 1 LACI, la demande de restitution est régie par l’art. 25 LPGA, à l’exception des cas relevant des art. 55 et 59cbis al. 4 LACI, lesquels ne sont toutefois pas applicables en l’espèce.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w:t>
      </w:r>
    </w:p>
    <w:p>
      <w:r>
        <w:t>- 5 - b) En règle générale, la restitution des prestations indûment touchées (art. 25 al. 1, première phrase, LPGA) et la remise de l’obligation de restituer (art. 25 al. 1, deuxième phrase, LPGA) doivent faire l'objet de décisions séparées rendues en deux étapes distinctes (art. 3 et 4 OPGA [ordonnance du 11 septembre 2001 sur la partie générale du droit des assurances sociales ; RS 830.11] ; TF 9C_496/2014 du 22 octobre 2014 consid. 2 ; voir également TF 9C_747/2018 du 12 mars 2019 consid. 1.2 et TFA P 62/04 du 6 juin 2005 consid. 1.2). c)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En revanche, s’il admet avoir perçu indûment les prestations, mais qu’il invoque sa bonne foi et les difficultés économiques qu’il rencontrerait en cas de remboursement, il doit présenter une demande de remise au sens des art. 3 à 5 OPGA (ordonnance du 11 septembre 2002 sur la partie générale du droit des assurances sociales ; RS 830.11). L’art. 4 al. 4 OPGA prévoit que la demande de remise doit être présentée par écrit. Elle doit être motivée, accompagnée des pièces nécessaires et déposée au plus tard trente jours à compter de l’entrée en force de la décision de restitution.</w:t>
      </w:r>
    </w:p>
    <w:p>
      <w:r>
        <w:rPr>
          <w:b/>
        </w:rPr>
        <w:t>E. 4</w:t>
      </w:r>
    </w:p>
    <w:p>
      <w:r>
        <w:t>a) Selon l’art. 24 LACI, est réputé intermédiaire tout gain que le chômeur retire d’une activité salariée ou indépendante durant une période de contrôle ; l’assuré qui perçoit un gain intermédiaire a droit à la compensation de la perte de gain (al. 1, première et deuxième phrases). Est réputée perte de gain la différence entre le gain assuré et le gain intermédiaire, ce dernier devant être conforme, pour le travail effectué, aux usages professionnels et locaux (al. 3, première phrase). b) Lorsque l’assuré réalise un revenu inférieur à son indemnité de chômage, il a droit à des indemnités compensatoires se montant à 70</w:t>
      </w:r>
    </w:p>
    <w:p>
      <w:r>
        <w:t>- 6 - ou 80 % de la perte de gain, selon le taux d’indemnisation auquel il a droit (art. 24 al. 1, troisième phrase, LACI et art. 41a al. 1 OACI). La perte de gain indemnisable correspond à la différence entre le gain déterminant et le gain intermédiaire, le gain déterminant représentant le gain assuré journalier (gain assuré divisé par 21,7), multiplié par le nombre de jours contrôlés au cours d’un mois. Le gain déterminant varie donc en fonction du nombre de jours contrôlés au cours des mois durant lesquels l’activité est exercée, conformément au système d’indemnisation du chômage, fondé sur cinq indemnités journalières par semaine, selon l’art. 21 LACI. En d’autres termes, le calcul de la perte de gain est effectué selon la formule suivante : gain assuré x jours de contrôle du mois / 21,7 - gain intermédiaire (TF 8C_1027/2008 du 8 septembre 2009 consid. 4.3.2 ; Boris Rubin, Commentaire de la loi sur l’assurance-chômage, Genève/Zurich/Bâle 2014, no 25 ad art. 24 LACI).</w:t>
      </w:r>
    </w:p>
    <w:p>
      <w:r>
        <w:rPr>
          <w:b/>
        </w:rPr>
        <w:t>E. 5</w:t>
      </w:r>
    </w:p>
    <w:p>
      <w:r>
        <w:t>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w:t>
      </w:r>
    </w:p>
    <w:p>
      <w:r>
        <w:t>- 7 -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Le droit d’être entendu est une garantie de nature formelle, dont la violation entraîne en principe l’annulation de la décision attaquée, indépendamment des chances de succès du recours sur le fond (ATF 144 I 11 consid. 5.3 ; 142 II 218 consid. 2.8.1 ; 137 I 195 consid. 2.2). Selon la jurisprudence, sa violation peut cependant être réparée lorsque la partie lésée a la possibilité de s’exprimer devant une autorité de recours jouissant d’un plein pouvoir d’examen (ATF 145 I 167 consid. 4.4 ; 142 II 218 consid. 2.8.1 ; 137 I 195 consid. 2.3.2 ).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w:t>
      </w:r>
    </w:p>
    <w:p>
      <w:r>
        <w:rPr>
          <w:b/>
        </w:rPr>
        <w:t>E. 6</w:t>
      </w:r>
    </w:p>
    <w:p>
      <w:r>
        <w:t>En l’occurrence, la recourante allègue qu’elle a procédé aux annonces nécessaires auprès de la Caisse en produisant ses fiches de salaire et les attestations de son gain intermédiaire et qu’elle a été « surprise » d’une demande de restitution de 8'256 fr. 35. La Caisse, pour sa part, s’est limitée à exposer qu’en gain intermédiaire, la recourante bénéficiait d’un salaire de 7'500 fr. brut par mois auquel s’ajoutait des rémunérations en fonction de l’atteinte de différents objectifs qui étaient connus le mois suivant leur accomplissement.</w:t>
      </w:r>
    </w:p>
    <w:p>
      <w:r>
        <w:t>- 8 - a) La recourante fait d’abord valoir sa bonne foi, la faute étant selon elle imputable à la Caisse. La condition de la bonne foi ne saurait être examinée dans le cadre de la présente procédure du moment que cette requête ne peut être traitée sur le fond que si la demande de restitution est entrée en force, la remise et son étendue faisant, le cas échéant, l’objet d’une procédure distincte. En principe, il lui serait loisible de déposer une telle demande par écrit, motivée, accompagnée des pièces nécessaires, au plus tard trente jours à compter de l’entrée en force de la décision de restitution (art. 4 al. 4 OPGA). Quoi qu’il en soit, au vu de l’issue de la présente cause, cette question n’est plus pertinente en l’état. b) La recourante expose ensuite que les montants indiqués dans la décision déférée ne correspondent pas aux montants qu’elle aurait perçus, en sorte que les calculs de la Caisse seraient erronés. Il faut constater ici que la Caisse n’a jamais explicité son calcul. En effet, la décision de restitution du 7 août 2023 ne mentionne que le solde final dû et ne contient aucun tableau récapitulatif ou même une simple énumération des montants permettant d’atteindre ce total et ainsi de comprendre cette décision. Dès lors que l’opposition reposait sur une argumentation relative à la remise de l’obligation, la décision sur opposition ne permet pas davantage de comprendre quels montants ont été nouvellement pris en considération et quels sont ainsi les trop-perçus par la recourante. En outre, on ne trouve au dossier aucun décompte permettant de comprendre comment le total réclamé de 8'256 fr. 35 a été calculé. La Caisse a ainsi violé le droit d’être entendue de la recourante en rendant une décision insuffisamment motivée pour être correctement attaquée. Au stade de l’opposition, la recourante ne pouvait que contester « de manière générale » les montants, sans vérification. Aussi en écartant son opposition qui ne pouvait pas être plus précise et en la tenant pour une demande de remise, l’intimée n’a pas vérifié le bien-fondé de la prétention en restitution comme cela lui incombe dans cette procédure.</w:t>
      </w:r>
    </w:p>
    <w:p>
      <w:r>
        <w:t>- 9 - En définitive, dès lors que la recourante n’a pas reçu d’explications suffisantes à propos de la manière dont le montant demandé en restitution a été calculé, son droit d’être entendu a été violé. Cette violation ne saurait par ailleurs pas être réparée dans le cadre de la présente procédure de recours dans la mesure où un éventuel arrêt sur le fond aboutirait à priver la recourante d’une instance. Le dossier n’est pas suffisamment instruit pour pouvoir se prononcer en connaissance de cause sur l’existence, respectivement le montant de la créance en restitution et seul un renvoi est susceptible de garantir le droit des parties. La décision litigieuse se révèle par conséquent contraire au droit, de sorte qu'il y a lieu de l'annuler et de renvoyer le dossier à l’intimée pour qu'elle reprenne ab initio le traitement de ce dossier et rende, le cas échéant, si cela s’avère nécessaire, une nouvelle décision conforme aux garanties de procédure de l’art. 29 Cst.</w:t>
      </w:r>
    </w:p>
    <w:p>
      <w:r>
        <w:rPr>
          <w:b/>
        </w:rPr>
        <w:t>E. 7</w:t>
      </w:r>
    </w:p>
    <w:p>
      <w:r>
        <w:t>a) Au vu de ce qui précède, le recours est admis, la décision sur opposition du 3 mai 2024 annulée et la cause renvoyée à la G.________. b) Il n’y a pas lieu de percevoir de frais judiciaires, la loi spéciale ne le prévoyant pas (art. 61 let. fbis LPGA), ni d’allouer de dépens, la partie recourante ayant procédé sans mandataire qualifié (art. 61 let. g LPGA ; ATF 127 V 205 consid. 4b). Par ces motifs,</w:t>
      </w:r>
    </w:p>
    <w:p>
      <w:r>
        <w:t>- 10 - la juge unique p r o n o n c e : I. Le recours est admis. II. La décision sur opposition rendue le 3 mai 2024 par la G.________ est annulée et la cause renvoyée à la Caisse pour instruction et nouvelle décision au sens des considérants qui précèdent. III. Il n’est pas perçu de frais judiciaires, ni de dépens. La juge unique : La greffière : Du L'arrêt qui précède est notifié à : - I.________, - G.________, - Secrétariat d’Etat à l’économie,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