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ZQ24.021791 vom 17. Dezember 2024</w:t>
      </w:r>
    </w:p>
    <w:p>
      <w:r>
        <w:t>VD Tribunal cantonal, 2024-12-17, FR</w:t>
      </w:r>
    </w:p>
    <w:p>
      <w:r>
        <w:rPr>
          <w:b/>
        </w:rPr>
        <w:t xml:space="preserve">Quelle: </w:t>
      </w:r>
      <w:r>
        <w:t>https://mcp.opencaselaw.ch/entscheid/vd_gerichte_ZQ24.021791</w:t>
      </w:r>
    </w:p>
    <w:p>
      <w:r>
        <w:t>FR: VD_GERICHTE ZQ24.021791 du 17 décembre 2024</w:t>
      </w:r>
    </w:p>
    <w:p>
      <w:r>
        <w:t>IT: VD_GERICHTE ZQ24.021791 del 17 dicembre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- 5 -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de l'intimée, qui l'a transmis d'office au tribunal compétent (art. 30 LPGA ; art. 20 al. 2 et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recourante a droit à l’indemnité de chômage dès le 24 janvier 2024, plus particulièrement si elle se trouvait en position d’influencer de manière déterminante les décisions de la société Q.________ SA.</w:t>
      </w:r>
    </w:p>
    <w:p>
      <w:r>
        <w:rPr>
          <w:b/>
        </w:rPr>
        <w:t>E. 3</w:t>
      </w:r>
    </w:p>
    <w:p>
      <w:r>
        <w:t>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w:t>
      </w:r>
    </w:p>
    <w:p>
      <w:r>
        <w:t>- 6 -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On précisera que la jurisprudence se fonde sur l’unique critère du risque d’abus et non sur celui de l’abus avéré, le risque suffisant donc à ce que le droit à l’indemnité soit nié d’emblée (TF 8C_587/2012 du 19 septembre 2012 consid. 3.2 ; également Boris Rubin, Commentaire de la loi sur l’assurance-chômage, Genève/Zurich/Bâle 2014, n° 21 ad art. 10 LACI).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(122 V 270 consid. 3).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TF 8C_34/2021 du 8 juillet 2021 consid. 3.3 ; 8C_811/2019 du 12 novembre 2020 consid. 3.1.3 ; 8C_433/2019 du 20</w:t>
      </w:r>
    </w:p>
    <w:p>
      <w:r>
        <w:t>- 7 - décembre 2019 consid. 4.2 ; 8C_171/2012 du 11 avril 2013 consid. 6.1 et les références citées). Lorsque le salarié – ou son conjoint – est membre d’un conseil d’administration ou associé d’une société à responsabilité limitée, l’inscription au registre du commerce constitue en règle générale le critère de délimitation décisif (ATF 122 V 270 précité consid. 3). La radiation de l’inscription permet d’admettre sans équivoque que l’assuré a quitté la société. Autrement, en effet, la possibilité demeure que celui-ci réactive l’entreprise et se fasse réengager (TF 8C_738/2015 du 14 septembre 2016 consid. 3.2 ; 8C_1016/2012 du 19 août 2013 consid. 4.3 ; 8C_134/2007 du 25 février 2008 consid. 1 et les références citées). En fait, il suffit qu’une continuité des activités soit possible pour que le droit doive être nié en raison d’un risque de contournement de la loi. c)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précité ; TF 8C_511/2014 du 19 août 2015 consid. 3.2 ; 8C_1016/2012 précité consid. 4.3 ; 8C_481/2010 du 15 février 2011 consid. 4.2). Toutefois, la jurisprudence est stricte. Elle exclut de considérer qu'un assuré a définitivement quitté son ancienne entreprise en raison de la fermeture de celle-ci tant qu'elle n'est pas entrée en liquidation, voire, selon les circonstances, pendant la durée de la procédure de liquidation (TF 8C_811/2019 précité consid. 3.1.2 ; 8C_511/2014 précité consid. 5.1 et les références citées). Parmi les circonstances dans lesquelles il faut exclure qu'un assuré a quitté définitivement son ancienne entreprise</w:t>
      </w:r>
    </w:p>
    <w:p>
      <w:r>
        <w:t>- 8 - même pendant la durée de la procédure de liquidation de la société, il y a lieu de mentionner le cas de l'assuré qui exerce la fonction de liquidateur (TF 8C_738/2015 précité consid. 3.1 et les références citées ; 8C_481/2010 précité consid. 4.2 ; 8C_415/2008 du 23 janvier 2009 consid. 3.2), celui qui est titulaire d'une large part du capital social et dont le conjoint est inscrit au registre du commerce (TF C 180/06 du 16 avril 2007 consid. 3.4 ; voir également TFA C 373/00 précité consid. 3) et celui du conjoint d'une associée gérante d'une Sàrl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précité consid. 5.1 ; 8C_481/2010 précité consid. 3.2).</w:t>
      </w:r>
    </w:p>
    <w:p>
      <w:r>
        <w:rPr>
          <w:b/>
        </w:rPr>
        <w:t>E. 4</w:t>
      </w:r>
    </w:p>
    <w:p>
      <w:r>
        <w:t>a) En l’espèce, la recourante fait valoir que son contrat de travail auprès de la société Q.________ SA a pris fin au 31 décembre 2023, que la faillite de dite société a été déclarée le 14 mai 2024 et que, n’exerçant pas la charge de liquidatrice, elle aurait droit aux prestations de chômage à compter du 24 janvier 2024. On constate néanmoins que l’intéressée est demeurée inscrite au registre du commerce en qualité d’administratrice avec signature individuelle de cette société, à tout le moins entre la date de son inscription auprès de l’ORP comme demandeuse d’emploi le 24 janvier 2024 jusqu’à la date de la décision litigieuse. En outre, la faillite de la société Q.________ SA, initialement prononcée le 18 mars 2024, a bénéficié d’un effet suspensif, qui a néanmoins été levé par la présidente du Tribunal d’arrondissement de [...] le 14 mai 2024, de sorte que la faillite est effective depuis cette date. Or du seul fait de son inscription au registre du commerce comme administratrice avec signature individuelle, la recourante disposait d’un pouvoir déterminant au sens de l’art. 31 al. 3 let. c LACI et était de ce</w:t>
      </w:r>
    </w:p>
    <w:p>
      <w:r>
        <w:t>- 9 - fait exclue du droit à l’indemnité de chômage, en tous les cas jusqu’au 14 mai 2024, date du prononcé de la faillite. b) Il y a dès lors lieu de constater que la décision sur opposition entreprise ne prête pas le flanc à la critique et qu’elle doit être confirmée. c) Au surplus, il ressort du dossier de l’intimée et de sa réponse du 11 juin 2024, que la recourante a déposé, en date du 3 juin 2024, une nouvelle demande revendiquant le droit à l’indemnité de chômage à compter du 14 mai 2024. En l’occurrence, cette nouvelle demande excède l’objet du litige tel que défini par la décision sur opposition du 2 mai 2024 et il appartiendra à la Caisse de statuer sur celle-ci.</w:t>
      </w:r>
    </w:p>
    <w:p>
      <w:r>
        <w:rPr>
          <w:b/>
        </w:rPr>
        <w:t>E. 5</w:t>
      </w:r>
    </w:p>
    <w:p>
      <w:r>
        <w:t>a) En définitive, le recours, mal fondé, doit être rejeté et la décision sur opposition litigieuse confirmée. b) Il n’y a pas lieu de percevoir de frais judiciaires (art. 61 let. fbis LPGA), ni d’allouer de dépens à la recourante, qui n’obtient pas gain de cause et a procédé sans mandataire qualifié (art. 61 let. g LPGA ; ATF 127 V 205 consid. 4b).</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