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ZQ24.009979 vom 18. Juni 2024</w:t>
      </w:r>
    </w:p>
    <w:p>
      <w:r>
        <w:t>VD Tribunal cantonal, 2024-06-18, FR</w:t>
      </w:r>
    </w:p>
    <w:p>
      <w:r>
        <w:rPr>
          <w:b/>
        </w:rPr>
        <w:t xml:space="preserve">Quelle: </w:t>
      </w:r>
      <w:r>
        <w:t>https://mcp.opencaselaw.ch/entscheid/vd_gerichte_ZQ24.009979</w:t>
      </w:r>
    </w:p>
    <w:p>
      <w:r>
        <w:t>FR: VD_GERICHTE ZQ24.009979 du 18 juin 2024</w:t>
      </w:r>
    </w:p>
    <w:p>
      <w:r>
        <w:t>IT: VD_GERICHTE ZQ24.009979 del 18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de la recourante à l’indemnité de chômage pour une durée de trois jours dès le 1er octobre 2023 en raison de la remise d’un nombre des recherches d’emploi insuffisant pour le mois de septembre 2023.</w:t>
      </w:r>
    </w:p>
    <w:p>
      <w:r>
        <w:rPr>
          <w:b/>
        </w:rPr>
        <w:t>E. 3</w:t>
      </w:r>
    </w:p>
    <w:p>
      <w:r>
        <w:t>a) Le droit à l’indemnité de chômage a pour corollaire un certain nombre de devoirs, qui découlent de l’obligation générale des</w:t>
      </w:r>
    </w:p>
    <w:p>
      <w:r>
        <w:t>- 4 -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- 5 - raisonnablement en considération (ATF 144 V 427 consid. 3.2 ; 139 V 176 consid. 5.3 et les références citées).</w:t>
      </w:r>
    </w:p>
    <w:p>
      <w:r>
        <w:rPr>
          <w:b/>
        </w:rPr>
        <w:t>E. 5</w:t>
      </w:r>
    </w:p>
    <w:p>
      <w:r>
        <w:t>a) En l’espèce, il ressort du procès-verbal d’entretien établi le 30 août 2023 par le conseiller ORP de la recourante que le nombre de recherches d’emploi minimal à effectuer en septembre 2023 avait été arrêté entre deux et trois par semaine et à dix par mois. En ne réalisant que huit recherches entre le 1er et le 29 septembre 2023 – ainsi que cela apparaît dans le document relatif aux preuves de recherches personnelles, reçu le 3 octobre 2023 par l’ORP –, l’assurée n’a de ce fait pas rempli ses objectifs en la matière. Elle ne s’est à cet égard prévalue d’aucun empêchement qui l’aurait entravé dans ses démarches. Certes, elle a soutenu que c’était son conseiller ORP qui lui aurait demandé d’accomplir huit recherches seulement durant cette période. Cependant, comme elle l’a également exposé dans son recours du 5 mars 2023, ce conseiller a admis ne pas se souvenir précisément des directives qu’il lui avait donné, si bien que ces déclarations – peu précises – ne suffisent pas à rendre vraisemblables les affirmations de la recourante. Qui plus est, selon la jurisprudence, la simple allégation qu'un renseignement oral aurait été communiqué ne suffit pas à établir la bonne foi de l'administré (cf. ATF 143 V 341 consid. 5.3.1 ; TF 8C_73/2022 du 26 janvier 2023 consid. 5.4). Les indications contenues dans le procès-verbal susmentionné – dont il convient de rappeler que la tenue lors de l’entretien est exigée par l’art. 21 al. 2 OACI – ne sauraient en conséquence être remises en cause par une éventuelle information orale donnée par le conseiller ORP de l’assurée. b) Compte tenu de ce qui précède, c’est à juste titre que l’intimée a considéré que la recourante n’avait pas fourni tous les efforts que l’on pouvait raisonnablement exiger d’elle pour abréger le chômage conformément à l’art. 17 al. 1 LACI. La suspension de son droit à l’indemnité de chômage au sens de l’art. 30 al. 1 est donc bien fondée quant à son principe.</w:t>
      </w:r>
    </w:p>
    <w:p>
      <w:r>
        <w:t>- 6 -</w:t>
      </w:r>
    </w:p>
    <w:p>
      <w:r>
        <w:rPr>
          <w:b/>
        </w:rPr>
        <w:t>E. 6</w:t>
      </w:r>
    </w:p>
    <w:p>
      <w:r>
        <w:t>a) En définitive, le recours, mal fondé, doit être rejeté et la décision sur opposition rendue le 7 février 2024 par l’intimée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7 février 2024 par la Direction générale de l’emploi et du marché du travail est confirmée. III. Il n’est pas perçu de frais judiciaires, ni alloué de dépens. La juge unique : Le greffier : Du L'arrêt qui précède est notifié à : - G.________, - Direction générale de l’emploi et du marché du travail, - Secrétariat d’Etat à l’économie (SECO),</w:t>
      </w:r>
    </w:p>
    <w:p>
      <w:r>
        <w:t>- 8 -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