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ZQ24.009863 vom 14. Mai 2024</w:t>
      </w:r>
    </w:p>
    <w:p>
      <w:r>
        <w:t>VD Tribunal cantonal, 2024-05-14, FR</w:t>
      </w:r>
    </w:p>
    <w:p>
      <w:r>
        <w:rPr>
          <w:b/>
        </w:rPr>
        <w:t xml:space="preserve">Quelle: </w:t>
      </w:r>
      <w:r>
        <w:t>https://mcp.opencaselaw.ch/entscheid/vd_gerichte_ZQ24.009863</w:t>
      </w:r>
    </w:p>
    <w:p>
      <w:r>
        <w:t>FR: VD_GERICHTE ZQ24.009863 du 14 mai 2024</w:t>
      </w:r>
    </w:p>
    <w:p>
      <w:r>
        <w:t>IT: VD_GERICHTE ZQ24.009863 del 14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- 5 -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l’indemnité en cas de réduction de l’horaire de travail pour la période du 3 janvier au 31 mars 2024.</w:t>
      </w:r>
    </w:p>
    <w:p>
      <w:r>
        <w:rPr>
          <w:b/>
        </w:rPr>
        <w:t>E. 3</w:t>
      </w:r>
    </w:p>
    <w:p>
      <w:r>
        <w:t>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w:t>
      </w:r>
    </w:p>
    <w:p>
      <w:r>
        <w:t>- 6 -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w:t>
      </w:r>
    </w:p>
    <w:p>
      <w:r>
        <w:t>- 7 -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d) Une inadaptation structurelle peut déboucher sur des problèmes de compétitivité à long terme. La pérennité des entreprises structurellement faibles est compromise. Il n’appartient pas à l’assurance- chômage de contribuer, par son intervention, à retarder les adaptations structurelles des entreprises. Si de telles adaptations n’ont pas lieu, il se peut que la condition de la réduction de l’horaire de travail vraisemblablement temporaire au sens de l’art. 31 al. 1 let. d LACI ne soit pas ou plus remplie (cf. RUBIN, op. cit., n. 13 ad art. 33 LACI). En outre, une modification fondamentale et durable de la demande constitue un indice qui permet de réfuter la nature provisoire de la perte de travail (cf. TFA C 218/94 du 29 décembre 1994 in : DTA 1995 n° 19 p. 112).</w:t>
      </w:r>
    </w:p>
    <w:p>
      <w:r>
        <w:rPr>
          <w:b/>
        </w:rPr>
        <w:t>E. 4</w:t>
      </w:r>
    </w:p>
    <w:p>
      <w:r>
        <w:t>a) En l’occurrence, le recourant a bénéficié, en faveur de son entreprise, de l’indemnité en cas de réduction de l’horaire de travail de janvier 2020 à mai 2022 et de juillet 2022 à janvier 2023. b) Au moment de se prononcer sur la nouvelle demande d’indemnité, il existait de sérieux indices permettant de renverser la présomption que la perte de travail serait vraisemblablement temporaire et que les emplois pourraient être maintenus. Ainsi que cela ressort du dossier, le chiffre d’affaires du recourant est relativement stable depuis de nombreuses années (2020 : 164'463 fr. ; 2021 : 175'226 fr. ; 2022 : 176'671 fr.), sans véritable perspective d’évolution à moyen ou long terme. Il ressort en effet du dossier que l’entreprise est liée à deux clients principaux (C.________ SA et M.________ SA) et qu’elle n’a pas gagné de nouveaux clients au cours de ces dernières années ; le recourant a au contraire expliqué que les clients qui, potentiellement, pourraient recourir à ses services disposent de leurs propres moyens d’usinage (cf. courriel du 18 août 2022).</w:t>
      </w:r>
    </w:p>
    <w:p>
      <w:r>
        <w:t>- 8 - Il s’ensuit que le recourant dépend presque exclusivement des commandes de ses deux principaux clients et est donc tributaire de la bonne santé de ces deux entreprises. Dans les faits, le recourant fait face, de longue date, à un phénomène structurel – lié à l’inadéquation de son offre de prestations avec la demande du marché – qui impacte défavorablement et durablement son activité. Or, dans la mesure où l’évolution de l’environnement économique fait partie des circonstances inhérentes aux risques d’exploitation qui doivent généralement être assumés par une entreprise au sens de l’art. 33 al. 1 let. a LACI, le recourant ne saurait prétendre à l’indemnité en cas de réduction de l’horaire de travail afin de compenser – sur le moyen et le long terme – la perte de travail subie par son entreprise. A cet égard, les circonstances avancées par le recourant (en particulier la guerre en Ukraine) doivent désormais être considérées comme des risques normaux d’exploitation et n’apparaissent plus suffisantes pour justifier à elles seules une perte de travail. Bien qu’il soit conscient du manque de débouchés dans sa branche sur le moyen et le long terme, le recourant n’a pas concrètement cherché à diminuer son éventuel dommage en diversifiant la palette des prestations de son entreprise, mais s’est reposé sur les prestations de l’assurance-chômage. c) Dans ces conditions, il y a lieu de retenir que les indemnités en cas de réduction de l’horaire de travail ne revêtaient pas, au moment de la demande de renouvellement du droit aux indemnités, un caractère temporaire au sens de l’art. 31 al. 1 let. d LACI. Il est le lieu de préciser qu’il n’appartient pas à l’assurance-chômage de contribuer, par son intervention, à financer, dans l’attente de jours meilleurs, un modèle économique manifestement non viable. d) C’est par conséquent à bon droit que l’intimée a refusé d’accorder le droit à l’indemnité en cas de réduction de l’horaire de travail pour la période du 3 janvier au 31 mars 2024.</w:t>
      </w:r>
    </w:p>
    <w:p>
      <w:r>
        <w:rPr>
          <w:b/>
        </w:rPr>
        <w:t>E. 5</w:t>
      </w:r>
    </w:p>
    <w:p>
      <w:r>
        <w:t>a) Le recourant fait valoir pour terminer qu'il aurait reçu des renseignements erronés, en tant qu’un collaborateur de la DGEM lui aurait</w:t>
      </w:r>
    </w:p>
    <w:p>
      <w:r>
        <w:t>- 9 - affirmé en janvier 2023 – alors que son entreprise n’avait plus droit à des jours d’indemnité en cas de réduction de l’horaire de travail pour l’année 2023 – qu’il pourrait renouveler sa demande en décembre 2023 pour l’année suivante. Il se prévaut par conséquent implicitement de sa bonne foi. b) Aux termes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Le devoir de conseil de l’assureur social est très large et s’applique à de nombreuses situations.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L’obligation de conseiller n’est toutefois pas illimitée. Selon la jurisprudence du Tribunal fédéral, l’assureur a certes un devoir d’anticiper les situations, mais ce devoir est limité (TF 9C_557/2010 du 7 mars 2011 consid. 4.4 ; GUY LONGCHAMP in : DUPONT/MOSER-SZELESS [édit.], Commentaire romand de la Loi sur la partie générale des assurances sociales, Bâle 2018, n. 28 ad art. 27 LPGA). c) Dans la mesure où il demandait pour la énième fois le renouvellement de son droit aux prestations, le recourant avait parfaitement connaissance des conditions et modalités pour obtenir la reconduction de l’indemnité en cas de réduction de l’horaire de travail. En l’informant de la fin de son droit aux prestations en janvier 2023 et du fait qu’il convenait de renouveler la demande de prestations pour l’année suivante, l’intimée ne lui a fourni aucune garantie ou assurance expresse s’agissant de son droit à l’indemnité litigieuse pour l’année 2024. Les</w:t>
      </w:r>
    </w:p>
    <w:p>
      <w:r>
        <w:t>- 10 - conditions à la protection de la bonne foi ne sont pas remplies dans le cas particulier.</w:t>
      </w:r>
    </w:p>
    <w:p>
      <w:r>
        <w:rPr>
          <w:b/>
        </w:rPr>
        <w:t>E. 6</w:t>
      </w:r>
    </w:p>
    <w:p>
      <w:r>
        <w:t>a) En définitive, le recours, mal fondé, doit être rejeté, ce qui entraîne la confirmation de la décision sur opposition litigieuse.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