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ZQ24.008430 vom 3. Mai 2024</w:t>
      </w:r>
    </w:p>
    <w:p>
      <w:r>
        <w:t>VD Tribunal cantonal, 2024-05-03, FR</w:t>
      </w:r>
    </w:p>
    <w:p>
      <w:r>
        <w:rPr>
          <w:b/>
        </w:rPr>
        <w:t xml:space="preserve">Quelle: </w:t>
      </w:r>
      <w:r>
        <w:t>https://mcp.opencaselaw.ch/entscheid/vd_gerichte_ZQ24.008430</w:t>
      </w:r>
    </w:p>
    <w:p>
      <w:r>
        <w:t>FR: VD_GERICHTE ZQ24.008430 du 3 mai 2024</w:t>
      </w:r>
    </w:p>
    <w:p>
      <w:r>
        <w:t>IT: VD_GERICHTE ZQ24.008430 del 3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- 5 -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l’indemnité de chômage, singulièrement la question de son aptitude au placement à compter du 1er novembre 2023.</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 TF 8C_282/2018 du 14 novembre 2018 consid. 4.1 et les références citées).</w:t>
      </w:r>
    </w:p>
    <w:p>
      <w:r>
        <w:t>- 6 -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RUBIN, op. cit., n. 42 ad art. 15 LACI). 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w:t>
      </w:r>
    </w:p>
    <w:p>
      <w:r>
        <w:t>- 7 -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w:t>
      </w:r>
    </w:p>
    <w:p>
      <w:r>
        <w:rPr>
          <w:b/>
        </w:rPr>
        <w:t>E. 4</w:t>
      </w:r>
    </w:p>
    <w:p>
      <w:r>
        <w:t>En l’occurrence, il convient de constater que l’exercice par la recourante d’une activité indépendante, sous la forme de l’exploitation d’un commerce, relève d’une aspiration professionnelle de longue date et non d’une réaction à sa mise au chômage ou d’une intention de vouloir diminuer le dommage en résultant. A cet égard, il y a lieu de mettre en évidence la conclusion d’un contrat de bail à loyer pour locaux commerciaux dès le 1er mai 2023 (avec un loyer mensuel brut de 1'660 fr.), l’acquisition d’un stock de matériel pour une valeur de 40'000 fr. ainsi que le temps consacré à la mise sur pied de son activité (environ quarante-cinq heures par semaine). Au regard du temps et de l’argent investis pour concrétiser son projet de clinique esthétique, il paraît peu probable que la recourante soit prête à renoncer à son activité au profit d’une activité dépendante. Il y a lieu de craindre que celle-ci ne puisse pas offrir à un (potentiel) employeur des perspectives claires d’employabilité ainsi que toute la disponibilité normalement exigible, ce d’autant que l’activité indépendante qu’elle entend déployer s’effectue principalement durant la journée. Dans ces conditions, la recourante peine à convaincre par ses explications. Le fait qu’elle a déclaré, tant dans le cadre de son opposition que de son recours, que son intention était clairement de trouver un emploi n’y change rien. De telles déclarations, par ailleurs contradictoires avec les réponses qu’elle a fournies dans son courriel du 4 décembre 2023, apparaissent davantage comme le fruit d’une réflexion consécutive à la réception de la décision d’inaptitude que d’une réelle volonté (règle dite des « premières déclarations » selon laquelle, en présence de deux versions différentes et contradictoires d’un état de fait, la préférence doit être accordée en</w:t>
      </w:r>
    </w:p>
    <w:p>
      <w:r>
        <w:t>- 8 - général à celle que la personne assurée a donnée alors qu’elle en ignorait peut-être les conséquences juridiques, les explications nouvelles pouvant être consciemment ou non le fruit de réflexions ultérieures cf. ATF 142 V 590 consid. 5.2 ; 121 V 45 consid. 2a ; TF 8C_238/2018 du 22 octobre 2018 consid. 6). Aussi, il y a lieu de considérer, sur la base de ses déclarations initiales, que la recourante s’est engagée dans une démarche dynamique et de long terme visant l’exercice d’une activité indépendante. Le seul fait qu’elle ait rempli formellement ses obligations de chômeuse ne permet pas de mettre en doute son inaptitude au placement au cours de la période litigieuse. En raison de l'étendue de son engagement pour la mise sur pied de son projet d’indépendante, la recourante n’offrait objectivement pas la disponibilité annoncée au taux de 100 %. Sur le vu de ce qui précède, la Cour de céans retient que l’intimée n’a pas violé le droit fédéral en déclarant la recourante inapte au placement dès le 1er novembre 2023.</w:t>
      </w:r>
    </w:p>
    <w:p>
      <w:r>
        <w:rPr>
          <w:b/>
        </w:rPr>
        <w:t>E. 5</w:t>
      </w:r>
    </w:p>
    <w:p>
      <w:r>
        <w:t>a) En définitive, le recours doit être rejeté et la décision sur opposition entreprise confirmée. b) Il n’y a pas lieu de percevoir de frais judiciaires (art. 61 let. fbis LPGA), ni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