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ZQ24.007920 vom 22. August 2024</w:t>
      </w:r>
    </w:p>
    <w:p>
      <w:r>
        <w:t>VD Tribunal cantonal, 2024-08-22, FR</w:t>
      </w:r>
    </w:p>
    <w:p>
      <w:r>
        <w:rPr>
          <w:b/>
        </w:rPr>
        <w:t xml:space="preserve">Quelle: </w:t>
      </w:r>
      <w:r>
        <w:t>https://mcp.opencaselaw.ch/entscheid/vd_gerichte_ZQ24.007920</w:t>
      </w:r>
    </w:p>
    <w:p>
      <w:r>
        <w:t>FR: VD_GERICHTE ZQ24.007920 du 22 août 2024</w:t>
      </w:r>
    </w:p>
    <w:p>
      <w:r>
        <w:t>IT: VD_GERICHTE ZQ24.007920 del 22 agosto 2024</w:t>
      </w:r>
    </w:p>
    <w:p>
      <w:pPr>
        <w:pStyle w:val="Heading2"/>
      </w:pPr>
      <w:r>
        <w:t>Erwägungen</w:t>
      </w:r>
    </w:p>
    <w:p>
      <w:r>
        <w:rPr>
          <w:b/>
        </w:rPr>
        <w:t>E. 28</w:t>
      </w:r>
    </w:p>
    <w:p>
      <w:r>
        <w:t>février 2024, B.G.________ a été radiée du registre du commerce en tant que liquidatrice avec signature individuelle de J.________ Sàrl et remplacée par F.________ (cf. lettre C supra). En effet, les droits des parties dans la procédure ont été respectés, ces derniers ayant pu se déterminer sur ces éléments de fait et leur portée juridique. 3. a) Aux termes de l’art. 8 LACI, l’assuré a droit à l’indemnité de chômage s’il remplit, de manière cumulative, les conditions fixées à l’alinéa 1 de cette disposition. La personne qui jouit d’une situation comparable à celle d’un employeur – ou son conjoint –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8C_384/2020 du 22 décembre 2020 consid. 3.1).</w:t>
      </w:r>
    </w:p>
    <w:p>
      <w:r>
        <w:t>- 9 - Cette jurisprudence a pour but d’écarter un risque d’abus consistant notamment, de la part de la personne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8C_384/2020 précité consid. 3.1 et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désignés, lesquels occupent collectivement une position comparable à celle du conseil d’administration d’une société anonyme. C'est le cas également pour les membres de la direction d'une association (ATF 145 V 200 consid. 4.2 ; 122 V 270 consid. 3 ; TF 8C_384/2020 consid. 3.1 et 8C_811/2019 consid. 3.1.3 précités et les références). c)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w:t>
      </w:r>
    </w:p>
    <w:p>
      <w:r>
        <w:t>- 10 - dans l’autre, il peut en principe prétendre au versement d’indemnités journalières de chômage (ATF 123 V 234 ; TF 8C_384/2020 consid. 3.1 et 8C_811/2019 consid. 3.1.2 précités). Lorsque la personne salariée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FOSC (ATF 126 V 134 consid. 5b ; TF 8C_102/2018 du 21 mars 2018 consid. 6.3 ; TF 8C_1016/2012 du 19 août 2013 consid. 4.3 et les références). Toutefois, la jurisprudence est stricte. Elle exclut de considérer qu’un assuré a définitivement quitté son ancienne entreprise en raison de la fermeture de celle-ci tant qu’elle n’est pas entrée en liquidation (TF 8C_811/2019 du 12 novembre 2020 consid. 3.1.2 ;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w:t>
      </w:r>
    </w:p>
    <w:p>
      <w:r>
        <w:t>- 11 - gérante d’une société à responsabilité limitée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du 19 août 2015 consid. 5.1 ; TF 8C_481/2010 du 15 février 2011 consid. 3.2). d)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(TF 8C_163/2016 du 17 octobre 2016 consid. 4 ; TF 8C_295/2014 du 7 avril 2015 consid. 4). 4. En l’espèce, le recourant n’était effectivement pas inscrit en qualité d’associé, de membre d’un organe dirigeant de la société ou encore de détenteur d’une participation financière à celle-ci. Il est en revanche l’époux de son unique associée gérante et détentrice de l’entier</w:t>
      </w:r>
    </w:p>
    <w:p>
      <w:r>
        <w:t>- 12 - des parts sociales. Il entre ainsi dans la liste des personnes visées par l’art. 31 al. 3 let. c in fine LACI. Le recourant objecte qu’il n’y a plus de risque d’abus, car il n’y a plus rien à liquider dans la société, si bien qu’une reprise d’activité de la société et son réengagement sont exclus. Il ajoute qu’il a rompu définitivement tout lien avec la société par suite de la résiliation de son contrat, et estime donc avoir droit au versement de l’indemnité. Il ne peut toutefois être entièrement suivi dans ses explications. L’épouse du recourant est en effet restée associée gérante de la société ensuite de la décision de mise en liquidation actée au 30 juin 2023, puis est devenue liquidatrice de la société, jusqu’au 27 février 2024, et détient encore la totalité des parts sociales de la société, laquelle n’est toujours pas radiée du registre du commerce. Pour la période du 1er juillet 2023 au 27 février 2024, il y a donc lieu de considérer que l’épouse du recourant disposait d’un pouvoir déterminant au sein de la société au sens de l’art. 31 al. 3 let. c LACI. Pour cette période, on ne discerne au demeurant pas de formalisme excessif de la part de l’intimée, puisque cette dernière s’est contentée d’appliquer la loi, laquelle prévoit expressément que les conjoints des personnes qui fixent les décisions que prend l’employeur n’ont pas le droit à l’indemnité. Toujours pour la période du 1er juillet 2023 au 27 février 2024, l’arrêt du TF 8C_511/2014 n’est d’aucun secours au recourant. Dans cette affaire en effet, il était question d’un assuré dont l’épouse avait été inscrite en qualité de liquidatrice avec signature individuelle une fois la signature d’administrateur-président de l’intéressé radiée au registre du commerce. Le Tribunal fédéral a retenu que le recourant se trouvait, par l’intermédiaire de son épouse, en position d'influencer de manière déterminante les décisions de son dernier employeur au sens de l'art. 31 al. 3 let. c LACI. Cette conclusion s'imposait d'autant plus qu'il ressortait</w:t>
      </w:r>
    </w:p>
    <w:p>
      <w:r>
        <w:t>- 13 - du procès-verbal authentique de l'assemblée générale du 11 février 2013, que les époux étaient titulaires de l'intégralité du capital social. Au demeurant, dans la présente espèce, comme dans le cas ayant donné lieu à l’ATF 8C_511/2014, si le commerce [...] a été vendu (cf. contrat de vente du 15 juin 2023), et que la cessation des activités liées au commerce [...] dans les locaux habituels peut être considérée comme définitive, il n’en demeure pas moins que le but de la société est large et ne se limite pas aux activités susmentionnées. Cela étant, ce qui précède vaut pour la période durant laquelle l’épouse du recourant était encore inscrite en qualité de liquidatrice avec signature individuelle de la société. Or depuis le 28 février 2024, un liquidateur tiers a été nommé. Il y a ainsi lieu de considérer qu’à compter du 28 février 2024, le risque d’abus mis en évidence par l’autorité intimée peut être exclu, et de retenir qu’il n’occupait dès lors plus, par l’intermédiaire de son épouse, une position assimilable à celle d’un employeur. 5. a) En définitive, le recours doit être partiellement admis et la décision sur opposition réformée en ce sens que le recourant a droit à des indemnités de l’assurance-chômage dès le 28 février 2024, pour autant que les autres conditions du droit soient réalisées. b) Il n’y a pas lieu de percevoir de frais judiciaires (art. 61 let. fbis LPGA), ni d’allouer de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