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ZQ24.007916 vom 14. Oktober 2024</w:t>
      </w:r>
    </w:p>
    <w:p>
      <w:r>
        <w:t>VD Tribunal cantonal, 2024-10-14, FR</w:t>
      </w:r>
    </w:p>
    <w:p>
      <w:r>
        <w:rPr>
          <w:b/>
        </w:rPr>
        <w:t xml:space="preserve">Quelle: </w:t>
      </w:r>
      <w:r>
        <w:t>https://mcp.opencaselaw.ch/entscheid/vd_gerichte_ZQ24.007916</w:t>
      </w:r>
    </w:p>
    <w:p>
      <w:r>
        <w:t>FR: VD_GERICHTE ZQ24.007916 du 14 octobre 2024</w:t>
      </w:r>
    </w:p>
    <w:p>
      <w:r>
        <w:t>IT: VD_GERICHTE ZQ24.007916 del 14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l’intimée est fondée à exiger du recourant la restitution de la somme de 7'380 fr. 45, correspondant aux indemnités de chômage qu’il aurait perçues à tort pour les mois d’octobre 2022 à avril 2023, singulièrement sur le montant à prendre en considération à titre de gain intermédiaire durant cette période.</w:t>
      </w:r>
    </w:p>
    <w:p>
      <w:r>
        <w:rPr>
          <w:b/>
        </w:rPr>
        <w:t>E. 3</w:t>
      </w:r>
    </w:p>
    <w:p>
      <w:r>
        <w:t>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w:t>
      </w:r>
    </w:p>
    <w:p>
      <w:r>
        <w:t>- 7 -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b)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Le gain intermédiaire est calculé sur le total du revenu réalisé pendant la période de contrôle. Il est composé du salaire de base, des indemnités pour jours fériés et autres éléments de salaire auxquels la personne assurée a droit, tels que treizième salaire, gratifications, commissions, allocations de résidence, allocations de renchérissement, supplément pour travail de nuit, travail du dimanche, travail en équipes, service de piquet, si la personne concernée touche normalement ces suppléments en raison de ses activités ou de son horaire de travail. L’indemnité de vacances versée en plus du salaire de base n’est prise en compte comme gain intermédiaire qu’au moment où l’assuré prend effectivement ses vacances (Bulletin LACI IC ch. C125 ; Rubin, op. cit., n° 27 ad art. 24 LACI). Le 13e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w:t>
      </w:r>
    </w:p>
    <w:p>
      <w:r>
        <w:t>- 8 - prorata des heures accomplies chaque mois. Cela signifie qu’elle doit recalculer les périodes de décompte et établir une décision de restitution pour autant que le montant de la restitution revête une importance notable (Bulletin LACI IC ch. C126). c) Un revenu est réputé avoir été réalisé au moment où la personne assurée a fourni la prestation de travail rémunératoire et non pas au moment de l’encaissement (ATF 122 V 367 consid. 5b ; TF 8C_318/2018 du 29 janvier 2019 consid. 5.2). d) Lorsque l’assuré réalise un revenu inférieur à son indemnité de chômage, il a droit à des indemnités compensatoires se montant à 70 ou 80 % de la perte de gain, selon le taux d’indemnisation auquel il a droit (art. 24 al. 1, troisième phrase, LACI et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Rubin, op. cit., n° 25 ad art. 24 LACI).</w:t>
      </w:r>
    </w:p>
    <w:p>
      <w:r>
        <w:rPr>
          <w:b/>
        </w:rPr>
        <w:t>E. 4</w:t>
      </w:r>
    </w:p>
    <w:p>
      <w:r>
        <w:t>a) Selon l’art. 95 al. 1 LACI, la demande de restitution est régie par l’art. 25 LPGA, à l’exception des cas relevant des art. 55 et 59cbis al. 4 LACI, non pertinents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w:t>
      </w:r>
    </w:p>
    <w:p>
      <w:r>
        <w:t>- 9 -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b) La procédure de restitution d’une prestation versée à tort implique en principe trois étapes distinctes (Sylvie Pétremand, in Dupont/Moser-Szeless [édit.], Commentaire romand, Loi sur la partie générale des assurances sociales, 2018,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 c)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w:t>
      </w:r>
    </w:p>
    <w:p>
      <w:r>
        <w:t>- 10 -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aa)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fédérale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bb)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 notification de la décision (TF 8C_207/2014 du 13 mars 2015 consid. 3 ;</w:t>
      </w:r>
    </w:p>
    <w:p>
      <w:r>
        <w:t>- 11 - 8C_434/2011 du 8 décembre 2011 consid. 3 ; RAMA 1994 n° U 191 p. 145). Le moment à partir duquel la partie aurait pu découvrir le motif de révision invoqué se détermine selon le principe de la bonne foi. Le délai de nonante jours commence à courir dès le moment où la partie a une connaissance suffisamment sûre du fait nouveau ou du moyen de preuve déterminant pour pouvoir l’invoquer, même si elle n’est pas en mesure d’apporter une preuve certaine ; une simple supposition ou voire des rumeurs ne suffisent pas et ne sont pas susceptibles de faire débuter le délai de révision (TF 9C_753/2020 du 23 novembre 2021 consid. 3 et les références citées). Si, en raison d'une révision, la caisse de chômage réclame des prestations indûment touchées, il lui incombe d'observer le délai de révision de 90 jours de l’art. 67 PA ainsi que le délai de péremption de l'art. 25 al. 2 LPGA (Bulletin LACI RCRE [Restitution, compensation, remise et encaissement], établi par le Secrétariat d’Etat à l’économie [SECO], A9). d) En vertu de l'art. 25 al. 2, première phrase, LPGA (dans sa teneur en vigueur à compter du 1er janvier 2021),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e)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op. cit., n° 8 ad art. 95 LACI) ; dans la mesure où cette requête ne peut être traitée sur le fond que si la demande de restitution est entrée en</w:t>
      </w:r>
    </w:p>
    <w:p>
      <w:r>
        <w:t>- 12 - force, la remise et son étendue font donc l’objet d’une procédure distincte. L’art. 4 al. 4 OPGA (ordonnance du 11 septembre 2002 sur la partie générale du droit des assurances sociales ; RS 830.11) prévoit que la demande de remise doit être présentée par écrit ; elle doit être motivée, accompagnée des pièces nécessaires et déposée au plus tard trente jours à compter de l’entrée en force de la décision de restitution.</w:t>
      </w:r>
    </w:p>
    <w:p>
      <w:r>
        <w:rPr>
          <w:b/>
        </w:rPr>
        <w:t>E. 5</w:t>
      </w:r>
    </w:p>
    <w:p>
      <w:r>
        <w:t>En l'espèce, concernant les mois litigieux, l’intimée a dans un premier temps fixé le montant des indemnités journalières au recourant sur la base du gain intermédiaire indiqué par son employeur dans les attestations correspondantes. Toutefois, après avoir pris connaissance, le 20 juin 2023, du contrat de travail du recourant, et plus particulièrement du règlement de l’entreprise relatif au commissionnement, l’intimée s’est aperçue que les commissions étaient toujours versées le mois suivant la livraison du véhicule. Ainsi, elle a rectifié les décomptes (révision procédurale) en tenant compte du montant des commissions figurant sur l’attestation de gain intermédiaire du mois suivant, ce qui l’a amenée à exiger du recourant, par décision du 28 juin 2023, la restitution de la somme de 6'145 fr. 25, correspondant aux indemnités de chômage reçu à tort au cours des mois d’octobre 2022 à avril 2023. Par la suite, dans le cadre de la procédure d’opposition, l’intimée s’est rendue compte, après de nouveaux calculs fondés sur les fiches de salaires des mois d’octobre 2022 à mai 2023 fournies par l’employeur, que le montant de la restitution s’élevait en réalité à 7'380 fr. 45. Ainsi, par décision sur opposition du 15 janvier 2024, l’intimée a réformé sa décision du 28 juin 2023 au détriment du recourant, et a requis de ce dernier la restitution d’un montant de 7'380 fr. 45 en lieu et place de 6'145 fr. 25. Cela étant, le calcul du gain intermédiaire du recourant pour la période d’octobre 2022 à avril 2023 effectué par l’intimée, figurant dans son courrier du 18 décembre 2023 et repris dans sa décision sur opposition, ne porte pas le flanc à la critique. A cet égard, en application du principe de la survenance (cf. supra consid. 3c), il convient effectivement de tenir compte du fait que les commissions versées au recourant, indiquées par l’employeur dans les fiches de salaires</w:t>
      </w:r>
    </w:p>
    <w:p>
      <w:r>
        <w:t>- 13 - concernaient, conformément au règlement de commissionnement de l’entreprise, le mois précédent. Le même principe doit s’appliquer s’agissant du bonus « T1 » de 1'230 fr. 30 perçu en mai 2023 par le recourant, dans la mesure où il couvre le premier trimestre de l’année 2023. C’est donc à bon droit que l’intimée a réparti ce montant sur les mois de janvier à mars 2023. Enfin, s’agissant des « parts privées voiture de service », il est correct d’en tenir compte pour les mois durant lesquels cet avantage a été octroyé. Ainsi, les montants des gains intermédiaires pour les mois d’octobre 2022 à avril 2023, tels que communiqués par l’intimée dans son courrier du 18 décembre 2023, et repris dans sa décision sur opposition, doivent être confirmés, le recourant n’apportant au demeurant aucun élément susceptible de remettre en cause ces chiffres. Pour le reste, les conditions d’une restitution au sens de l’art. 25 LPGA, au demeurant non contestées par le recourant, sont également réalisées en l’espèce. En effet, lors du versement des indemnités journalières, l’intimée s’est dans un premier temps fondé uniquement sur les indications de l’employeur figurant sur les attestations de gain intermédiaire. Toutefois, le 20 juin 2023, elle a appris que le règlement de commissionnement de l’entreprise prévoyait que les commissions étaient toujours payées dans le mois suivant la livraison du véhicule. Un tel fait doit être considéré comme nouveau au sens de l’art. 53 al. 1 LPGA. Il doit également être qualifié d’important, c’est-à-dire de nature à modifier l’état de fait qui est à la base de la décision entreprise et conduire à une décision différente en fonction d’une appréciation juridique correcte. En outre, l’intimée, par sa décision du 28 juin 2023, a invoqué son motif de révision dans le délai de nonante jours dès sa découverte (cf. art. 53 al. 1 cum art. 67 PA) et requis du recourant la restitution des montants perçus à tort par décision du 28 juin 2023 dans le délai de trois ans (cf. art. 25 al. 2 LPGA). En définitive, l’intimée est en droit d’exiger du recourant la restitution de la somme de 7'380 fr. 45 qui lui a été versée à tort, étant précisé que la procédure de la reformatio in pejus prévu à l’art. 12 OPGA a été respectée par l’intimée dans la mesure où, par courrier du 18 décembre 2023, elle a informé le recourant de son intention de modifier à</w:t>
      </w:r>
    </w:p>
    <w:p>
      <w:r>
        <w:t>- 14 - son détriment la décision de restitution du 28 juin 2023 et qu’elle lui a donné la possibilité de retirer son opposition. Pour le surplus, l’argument du recourant selon lequel il convient de renoncer à la restitution du montant précité dans la mesure où il ne dispose pas de ce montant ont trait à la question de la remise de l’obligation de restituer. Or, cette problématique excède l’objet du présent litige et ne peut être examinée qu’une fois la décision de restitution entrée en force (art. 4 al. 4 OPGA ; TF 9C_466/2014 du 2 juillet 2015 consid. 3.1).</w:t>
      </w:r>
    </w:p>
    <w:p>
      <w:r>
        <w:rPr>
          <w:b/>
        </w:rPr>
        <w:t>E. 6</w:t>
      </w:r>
    </w:p>
    <w:p>
      <w:r>
        <w:t>a) Sur le vu de ce qui précède, il convient de rejeter le recours.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 II. La décision sur opposition rendue le 15 janvier 2024 par la Caisse cantonale de chômage, Division juridique, est confirmée. III. Il n'est pas perçu de frais judiciaires, ni alloué de dépens. Le juge unique : Le greffier : Du</w:t>
      </w:r>
    </w:p>
    <w:p>
      <w:r>
        <w:t>- 15 - L'arrêt qui précède est notifié à : - G.________,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