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ZQ24.004736 vom 3. September 2024</w:t>
      </w:r>
    </w:p>
    <w:p>
      <w:r>
        <w:t>VD Tribunal cantonal, 2024-09-03, FR</w:t>
      </w:r>
    </w:p>
    <w:p>
      <w:r>
        <w:rPr>
          <w:b/>
        </w:rPr>
        <w:t xml:space="preserve">Quelle: </w:t>
      </w:r>
      <w:r>
        <w:t>https://mcp.opencaselaw.ch/entscheid/vd_gerichte_ZQ24.004736</w:t>
      </w:r>
    </w:p>
    <w:p>
      <w:r>
        <w:t>FR: VD_GERICHTE ZQ24.004736 du 3 septembre 2024</w:t>
      </w:r>
    </w:p>
    <w:p>
      <w:r>
        <w:t>IT: VD_GERICHTE ZQ24.004736 del 3 settembre 2024</w:t>
      </w:r>
    </w:p>
    <w:p>
      <w:pPr>
        <w:pStyle w:val="Heading2"/>
      </w:pPr>
      <w:r>
        <w:t>Erwägungen</w:t>
      </w:r>
    </w:p>
    <w:p>
      <w:r>
        <w:rPr>
          <w:b/>
        </w:rPr>
        <w:t>E. 6</w:t>
      </w:r>
    </w:p>
    <w:p>
      <w:r>
        <w:t>a) En définitive, le recours, bien-fondé, doit être partiellement admis et la décision attaquée réformée en ce sens que la sanction prononcée est réduite à trois jours de suspension.</w:t>
      </w:r>
    </w:p>
    <w:p>
      <w:r>
        <w:t>- 10 - b) Il n’y a pas lieu de percevoir de frais judiciaires (art. 61 let. f bis LPGA), ni d’allouer de dépens, la partie recourante ayant procédé sans mandataire qualifié (ATF 127 V 205 consid. 4b). Par ces motifs, le juge unique p r o n o n c e : I. Le recours est partiellement admis. II. La décision sur opposition rendue le 9 janvier 2024 est réformée en ce sens que la sanction prononcée à l’encontre de H.________ est réduite à trois jour de suspension des prestations de l’assurance-chômage. III. Il n’est pas perçu de frais judiciaires, ni alloué de dépens. Le juge unique : La greffière :</w:t>
      </w:r>
    </w:p>
    <w:p>
      <w:r>
        <w:t>- 11 - Du L'arrêt qui précède est notifié à : - H.________,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