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ZQ24.002561 vom 14. Juni 2024</w:t>
      </w:r>
    </w:p>
    <w:p>
      <w:r>
        <w:t>VD Tribunal cantonal, 2024-06-14, FR</w:t>
      </w:r>
    </w:p>
    <w:p>
      <w:r>
        <w:rPr>
          <w:b/>
        </w:rPr>
        <w:t xml:space="preserve">Quelle: </w:t>
      </w:r>
      <w:r>
        <w:t>https://mcp.opencaselaw.ch/entscheid/vd_gerichte_ZQ24.002561</w:t>
      </w:r>
    </w:p>
    <w:p>
      <w:r>
        <w:t>FR: VD_GERICHTE ZQ24.002561 du 14 juin 2024</w:t>
      </w:r>
    </w:p>
    <w:p>
      <w:r>
        <w:t>IT: VD_GERICHTE ZQ24.002561 del 14 giugno 2024</w:t>
      </w:r>
    </w:p>
    <w:p>
      <w:pPr>
        <w:pStyle w:val="Heading2"/>
      </w:pPr>
      <w:r>
        <w:t>Erwägungen</w:t>
      </w:r>
    </w:p>
    <w:p>
      <w:r>
        <w:rPr>
          <w:b/>
        </w:rPr>
        <w:t>E. 1</w:t>
      </w:r>
    </w:p>
    <w:p>
      <w:r>
        <w:t>a) Sauf dérogation expresse, les dispositions de la LPGA (loi fédérale du 6 octobre 2000 sur la partie générale du droit des assurances sociales ; RS 830.1) s’appliquent aux contestations relevant de l’assurance-chômage (art. 1 al. 1 LACI [loi fédérale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La Cour des assurances sociales du Tribunal cantonal est compétente pour statuer (art. 93 let. a LPA-VD [loi cantonale vaudoise du 28 octobre 2008 sur la procédure administrative ; BLV 173.36]). La valeur litigieuse étant inférieure à 30'000 fr. au vu du total du nombre de jours de suspension du droit aux indemnités, la présente cause relève de la</w:t>
      </w:r>
    </w:p>
    <w:p>
      <w:r>
        <w:t>- 5 - compétence d'un membre de la Cour des assurances sociales statuant en tant que juge unique (art. 94 al. 1 let. a LPA-VD). b) Le recours a été formé en temps utile compte tenu des féries de fin d’année (cf. art. 38 al. 4 let. c LPGA) et dans le respect des formalités prévues par la loi, il contient notamment des conclusions et une motivation (cf. art. 61 let. b LPGA notamment), de sorte qu’il est recevable.</w:t>
      </w:r>
    </w:p>
    <w:p>
      <w:r>
        <w:rPr>
          <w:b/>
        </w:rPr>
        <w:t>E. 2</w:t>
      </w:r>
    </w:p>
    <w:p>
      <w:r>
        <w:t>Le litige porte sur la suspension du droit de la recourante aux indemnités journalières de chômage durant trente-et-un jours, prononcée au motif qu'elle aurait refusé un emploi convenable.</w:t>
      </w:r>
    </w:p>
    <w:p>
      <w:r>
        <w:rPr>
          <w:b/>
        </w:rPr>
        <w:t>E. 3</w:t>
      </w:r>
    </w:p>
    <w:p>
      <w:r>
        <w:t>a) Aux termes de l’art. 17 al. 1 LACI, l’assuré qui fait valoir des prestations d’assurance doit, avec l’assistance de l’office de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b) L’assuré est notamment tenu d’accepter immédiatement tout travail convenable qui lui est proposé, en vue de diminuer le dommage (art. 16 al. 1 et 17 al. 3, 1ère phrase, LACI). Le second alinéa de l’art. 16 LACI énumère une série de cas dans lesquels un travail n’est pas réputé convenable et, par conséquent, est exclu de l’obligation d’être accepté. N’est notamment pas réputé convenable au sens de cette disposition tout travail qui ne tient pas raisonnablement compte des aptitudes de l’assuré ou de l’activité qu’il a précédemment exercée (let. b) ou encore ne convient pas à l’âge, à la situation personnelle ou à l’état de santé de l’assuré (let. c). c) En vertu de l'art. 30 al. 1 let. d LACI, le droit de l'assuré est suspendu lorsqu'il n'observe pas les prescriptions de contrôle du chômage</w:t>
      </w:r>
    </w:p>
    <w:p>
      <w:r>
        <w:t>- 6 -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du 24 mai 2007 consid. 3 ; TFA C 136/06 du 16 mai 2007 consid. 3 et les références citées). A cet égard, l’assignation doit être rédigée de manière à ce que le caractère officiel et obligatoire de l’injonction qu’elle contient ne puisse prêter à confusion (Boris Rubin, Commentaire de la loi sur l’assurance-chômage, Genève/Zurich/Bâle 2014,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w:t>
      </w:r>
    </w:p>
    <w:p>
      <w:r>
        <w:t>- 7 - les réf. cit. ; cf. Rubin, op. cit., n° 66 ad art. 30 LACI et les références citées). L'assuré qui entend se prévaloir d’un motif de santé pour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d)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w:t>
      </w:r>
    </w:p>
    <w:p>
      <w:r>
        <w:t>- 8 - consid. 5.2 ; TF 8C_285/2011 du 22 août 2011, consid. 3.1 ; cf. également Rubin, op. cit., n° 110 ad art. 30). Aux termes de l'art. 45 al. 4 OACI, il y a faute grave lorsque, sans motif valable, l’assuré abandonne un emploi réputé convenable sans être assuré d’obtenir un nouvel emploi (let. a), ou qu’il refuse un emploi réputé convenable (let. b). En tant qu'autorité de surveillance, le SECO (Secrétariat d’Etat à l’économie) a adopté un barème indicatif à l'intention des organes d'exécution (cf. Directive LACI IC, D79).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8C_2/2012 du 14 juin 2012 consid. 2.1).</w:t>
      </w:r>
    </w:p>
    <w:p>
      <w:r>
        <w:rPr>
          <w:b/>
        </w:rPr>
        <w:t>E. 4</w:t>
      </w:r>
    </w:p>
    <w:p>
      <w:r>
        <w:t>En l'espèce, l’intimée soutient que la recourante avait les compétences requises, que le taux d’activité était certes inférieur à celui souhaité mais qu’il pouvait lui procurer un gain intermédiaire et que la manière dont l’employeur potentiel l’avait contactée ne pouvait pas lui être reproché car l’assurée avait signé une autorisation de transmission de données le 9 mars 2023. Elle estime que les arguments avancés par la recourante pour refuser ce poste ne sont ainsi pas valables et que l’emploi proposé était convenable. La recourante conteste ce point de vue, faisant valoir que l’emploi proposé comprenait du secrétariat, singulièrement l’établissement de devis, alors qu’elle n’en avait jamais fait. Elle estime que l’emploi ne pouvait ainsi pas être réputé convenable car il ne respectait ni ses aptitudes ni son état de santé, de sorte qu'elle n’avait commis aucune faute justifiant une sanction.</w:t>
      </w:r>
    </w:p>
    <w:p>
      <w:r>
        <w:t>- 9 -</w:t>
      </w:r>
    </w:p>
    <w:p>
      <w:r>
        <w:rPr>
          <w:b/>
        </w:rPr>
        <w:t>E. 5</w:t>
      </w:r>
    </w:p>
    <w:p>
      <w:r>
        <w:t>a) Il convient d’abord d’examiner le caractère convenable de l’emploi proposé par la société P.________ Sàrl, au regard des critères posés par l’art. 16 al. 2 LACI. b) En l’occurrence, l'activité de secrétariat et comptabilité proposée était en adéquation avec les compétences professionnelles acquises par la recourante, puisqu’il s’agissait – pour la partie comptabilité - d’un emploi similaire à ceux qu’elle occupait précédemment auprès de différents employeurs. Pour la partie secrétariat, même si elle n’en avait plus assumé au cours des dernières années, elle est au bénéfice d’un CFC d’employée de commerce et avait donc acquis, durant sa formation professionnelle, les compétences de base dans ce domaine. La recourante critiquait – au stade de son opposition - le taux d’activité proposé entre 30 et 40 %, arguant que son taux d’indemnisation était de 80 %. Il est certes évident qu'un poste à 30 % ne pouvait pas, seul, permettre à la recourante de subvenir à ses besoins. En revanche, comme le souligne l'intimée dans sa décision sur opposition litigieuse du</w:t>
      </w:r>
    </w:p>
    <w:p>
      <w:r>
        <w:rPr>
          <w:b/>
        </w:rPr>
        <w:t>E. 6</w:t>
      </w:r>
    </w:p>
    <w:p>
      <w:r>
        <w:t>a) Le refus d’un emploi convenable sanctionnable étant constaté, il reste à qualifier la faute, puis à prononcer la quotité de la suspension. b) En l’espèce, l’intimée a considéré que le comportement de la recourante devait être qualifié de faute grave, conformément à ce que prévoit l’art. 45 al. 4 let. b OACI en cas de refus d’un emploi réputé convenable sans motif valable. Cette qualification ne prête pas flanc à la critique et doit être confirmée.</w:t>
      </w:r>
    </w:p>
    <w:p>
      <w:r>
        <w:t>- 11 - La sanction de trente-et-un jours de suspension, qui correspond à la quotité minimale prévue par le barème du SECO (cf. Directive LACI IC, D79) en cas d’un premier refus d’un emploi convenable ou d’un emploi en gain intermédiaire à durée indéterminée assigné à l’assuré ou qu’il a trouvé lui-même, et au demeurant conforme à la quotité minimale prévue par l’art. 45 al. 3 let. c OACI en cas de faute grave, n’est nullement critiquable au vu des circonstances concrètes. La recourante n’invoque d’ailleurs aucun élément qui permettrait d’atténuer le degré de la faute ou de constater que la sanction de trente-et-un jours de suspension pour faute grave serait disproportionnée.</w:t>
      </w:r>
    </w:p>
    <w:p>
      <w:r>
        <w:rPr>
          <w:b/>
        </w:rPr>
        <w:t>E. 7</w:t>
      </w:r>
    </w:p>
    <w:p>
      <w:r>
        <w:t>En définitive, le recours, mal fondé, doit être rejeté et la décision sur opposition querellée confirmée. Il n’y a pas lieu de percevoir de frais judiciaires (art. 61 let. fbis LPGA), ni d’allouer de dépens à la recourante qui n’obtient pas gain de cause et a procédé sans mandataire qualifié (art. 61 let. g LPGA ; ATF 127 V 205 consid. 4b). Par ces motifs, la juge unique p r o n o n c e : I. Le recours est rejeté. II. La décision sur opposition rendue le 6 décembre 2023 par la Direction générale de l'emploi et du marché du travail est confirmée. III. Il n'est pas perçu de frais judiciaires, ni alloué de dépens. La juge unique : Le greffier :</w:t>
      </w:r>
    </w:p>
    <w:p>
      <w:r>
        <w:t>- 12 - Du L'arrêt qui précède est notifié à : - T.________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