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ZQ23.051962 vom 30. Mai 2024</w:t>
      </w:r>
    </w:p>
    <w:p>
      <w:r>
        <w:t>VD Tribunal cantonal, 2024-05-30, FR</w:t>
      </w:r>
    </w:p>
    <w:p>
      <w:r>
        <w:rPr>
          <w:b/>
        </w:rPr>
        <w:t xml:space="preserve">Quelle: </w:t>
      </w:r>
      <w:r>
        <w:t>https://mcp.opencaselaw.ch/entscheid/vd_gerichte_ZQ23.051962</w:t>
      </w:r>
    </w:p>
    <w:p>
      <w:r>
        <w:t>FR: VD_GERICHTE ZQ23.051962 du 30 mai 2024</w:t>
      </w:r>
    </w:p>
    <w:p>
      <w:r>
        <w:t>IT: VD_GERICHTE ZQ23.051962 del 30 maggio 2024</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la remise de l’obligation de restituer les prestations de l’assurance-chômage versées à tort au recourant. Le principe de la restitution de la somme de 2'738 fr. 20 représentant le montant des indemnités indûment perçues entre les mois de mars 2020 et mai 2020 a été tranché de manière définitive par la décision – demeurée sans opposition – rendue le 26 janvier 2022 par la Caisse de chômage D.________. Seule demeure litigieuse la question de savoir si le recourant peut obtenir la remise de son obligation de restituer.</w:t>
      </w:r>
    </w:p>
    <w:p>
      <w:r>
        <w:t>- 7 -</w:t>
      </w:r>
    </w:p>
    <w:p>
      <w:r>
        <w:rPr>
          <w:b/>
        </w:rPr>
        <w:t>E. 3</w:t>
      </w:r>
    </w:p>
    <w:p>
      <w:r>
        <w:t>a) Selon l’art. 25 al. 1 LPGA, auquel renvoie l’art. 95 al. 1 LACI, les prestations indûment touchées doivent être restituées. A teneur de l’art. 4 OPGA (ordonnance du 11 septembre 2002 sur la partie générale du droit des assurances sociales ; RS 830.11),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TF 8C_704/2016 du 29 mai 2017 consid. 3). Si l’examen de la première condition (bonne foi) devait mener au constat que celle-ci n’est pas réalisée, celui de la seconde (situation difficile ; cf. à ce sujet : art. 5 OPGA) deviendrait de fait superflue. b) Selon la jurisprudence,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(ATF 138 V 218 consid. 4 ; TF 8C_373/2016 du 29 mars 2017 consid. 4). Il y a négligence grave quand un ayant droit ne se conforme pas à ce qui peut raisonnablement être exigé d'une personne capable de discernement dans une situation identique et dans les mêmes circonstances (ATF 110 V 176 consid. 3d). La bonne foi doit être niée quand l'enrichi pouvait, au moment du versement, s'attendre à son obligation de restituer, parce qu'il savait ou devait savoir, en faisant</w:t>
      </w:r>
    </w:p>
    <w:p>
      <w:r>
        <w:t>- 8 - preuve de l'attention requise, que la prestation était indue (ATF 130 V 414 consid. 4.3 ; TF 8C_118/2010 du 31 août 2010 consid. 4.1).</w:t>
      </w:r>
    </w:p>
    <w:p>
      <w:r>
        <w:rPr>
          <w:b/>
        </w:rPr>
        <w:t>E. 4</w:t>
      </w:r>
    </w:p>
    <w:p>
      <w:r>
        <w:t>En l’espèce, il ressort des pièces au dossier que, quoi qu’en dise le recourant, celui-ci était employé de la société B.________ Sàrl entre mars et mai 2020 et a réalisé au cours de cette période un revenu de 6’910 fr. (cf. extrait du compte individuel AVS du 7 janvier 2022), alors même que dans les IPA relatifs à cette période, il avait répondu par la négative à la question de savoir s’il avait travaillé chez un ou plusieurs employeurs et précisé être encore au chômage. a) Compte tenu de la formulation parfaitement claire des questions posées dans les questionnaires IPA, le recourant ne pouvait légitimement prétendre ignorer qu’il lui était demandé de signaler toutes les formes de rémunération susceptibles d’avoir une incidence sur les indemnités de chômage. En cas de doute, il aurait à tout le moins dû se renseigner auprès de l’administration. Ainsi, force est de constater que s’il avait prêté aux circonstances l’attention que l’on pouvait attendre de lui, il n’aurait pas manqué de fournir à la caisse des renseignements conformes à la réalité. b) Dans ce contexte, en s’abstenant de signaler les revenus versés par la société B.________ Sàrl au titre des indemnités en cas de réduction de l’horaire de travail, le recourant a sans aucun doute violé son devoir de renseigner. Le fait de ne pas s’être conformé à ce qui pouvait être raisonnablement exigé d’une personne capable de discernement dans une situation identique constitue par conséquent un comportement dolosif ou, à tout le moins, une négligence grave qui empêche la reconnaissance de la bonne foi du recourant. En tout état de cause, il convient de rappeler que l’erreur de droit, qui est admise de manière restrictive, est fondée sur l’idée que le justiciable doit d’efforcer de prendre connaissance de la loi et que son ignorance ne lui permet de s’exculper que dans des cas exceptionnels (ATF 129 IV 238 consid. 3.1). L’ignorance de la loi ne constitue donc en principe pas une raison suffisante et il appartient à celui</w:t>
      </w:r>
    </w:p>
    <w:p>
      <w:r>
        <w:t>- 9 - qui se trouve face à une situation juridique qu’il ne maîtrise pas de prendre les renseignements nécessaires (ATF 128 IV 201 consid. 2). c) Par conséquent, le recourant n’a pas perçu les prestations indues de bonne foi au sens de la jurisprudence citée ci-dessus (cf. considérant 3b supra). La première des deux conditions cumulatives à la remise n’étant pas remplie, c’est à bon droit que l’intimée a rejeté la demande de remise du recourant. Les difficultés à rembourser la somme litigieuse invoquées par l’intéressé compte tenu de sa situation financière et personnelle n’y changent rien ; aussi, la question de savoir si la restitution le mettrait dans une situation matérielle difficile peut demeurer ouverte. Nonobstant ce qui précède, le recourant est rendu attentif au fait qu’il lui est loisible de solliciter de l’autorité l’instauration d’un plan de remboursement échelonné.</w:t>
      </w:r>
    </w:p>
    <w:p>
      <w:r>
        <w:rPr>
          <w:b/>
        </w:rPr>
        <w:t>E. 5</w:t>
      </w:r>
    </w:p>
    <w:p>
      <w:r>
        <w:t>a) En définitive, le recours, mal fondé, doit être rejeté et la décision litigieuse confirmée. b) Il n’y a pas lieu de percevoir de frais judiciaires (art. 61 let. fbis LPGA), ni d’allouer de dépens à la partie recourante, qui n’obtient pas gain de cause et a procédé sans mandataire qualifié (art. 61 let. g LPGA ; ATF 127 V 205 consid. 4b).</w:t>
      </w:r>
    </w:p>
    <w:p>
      <w:r>
        <w:t>- 10 - Par ces motifs, le juge unique p r o n o n c e : I. Le recours est rejeté. II. La décision sur opposition rendue le 15 novembre 2023 par la Direction générale de l’emploi et du marché du travail est confirmée. III. Il n’est pas perçu de frais judiciaires, ni alloué de dépens. Le juge unique : Le greffier : Du L'arrêt qui précède est notifié à : - M. N.________, - Direction générale de l’emploi et du marché du travail,</w:t>
      </w:r>
    </w:p>
    <w:p>
      <w:r>
        <w:t>- 11 -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