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ZQ23.050417 vom 30. April 2024</w:t>
      </w:r>
    </w:p>
    <w:p>
      <w:r>
        <w:t>VD Tribunal cantonal, 2024-04-30, FR</w:t>
      </w:r>
    </w:p>
    <w:p>
      <w:r>
        <w:rPr>
          <w:b/>
        </w:rPr>
        <w:t xml:space="preserve">Quelle: </w:t>
      </w:r>
      <w:r>
        <w:t>https://mcp.opencaselaw.ch/entscheid/vd_gerichte_ZQ23.050417</w:t>
      </w:r>
    </w:p>
    <w:p>
      <w:r>
        <w:t>FR: VD_GERICHTE ZQ23.050417 du 30 avril 2024</w:t>
      </w:r>
    </w:p>
    <w:p>
      <w:r>
        <w:t>IT: VD_GERICHTE ZQ23.050417 del 30 aprile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- 7 -</w:t>
      </w:r>
    </w:p>
    <w:p>
      <w:r>
        <w:rPr>
          <w:b/>
        </w:rPr>
        <w:t>E. 2</w:t>
      </w:r>
    </w:p>
    <w:p>
      <w:r>
        <w:t>Le litige porte sur le bien-fondé de la suspension du droit à l’indemnité du recourant pendant 32 jours à compter du 23 juin 2023, au motif qu’il s’est trouvé au chômage par sa propre faute.</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b) Il y a lieu d’admettre de façon restrictive les circonstances pouvant justifier l’abandon d’un emploi (ATF 124 V 234 consid. 4b et les références). Des désaccords sur le montant du salaire ou un rapport tendu avec des supérieurs ou des collègues de travail ne suffisent pas à justifier l’abandon d’un emploi. Dans ces circonstances, on doit, au contraire, attendre de la personne assurée qu’elle fasse l’effort de garder sa place jusqu’à ce qu’elle ait trouvé un autre emploi. En revanche, on ne saurait en règle générale exiger d’elle qu’elle conserve son emploi, lorsque les manquements de l’employeur à ses obligations contractuelles atteignent un degré de gravité justifiant une résiliation immédiate (TF 8C_510/2017 du 22 février 2018 consid. 3.1 et les références), au sens de l’art. 337 CO (code des obligations du 30 mars 1911 ; RS 220). Généralement, des relations tendues avec les collègues et les supérieurs, une mauvaise atmosphère de travail ou des problèmes de</w:t>
      </w:r>
    </w:p>
    <w:p>
      <w:r>
        <w:t>- 8 - santé non attestés médicalement ne suffisent pas à faire admettre que la continuation des rapports de travail n’était pas exigible (ATF 124 V 234 consid. 4b/bb ; TF 8C_584/2020 du 17 décembre 2020 consid. 4). Il en va de même des conditions de travail difficiles (chantiers, centres d’appels, etc.), d’une invitation pressante à se conformer aux obligations contractuelles ou aux devoirs de fonction, ou encore d’une hiérarchie pas toujours à la hauteur des tâches, qui doivent être tolérés par les employés (Boris Rubin, Commentaire de la loi sur l’assurance-chômage, Genève/Zurich/Bâle 2014, n° 37 ad art. 30 LACI). Par ailleurs, un assuré qui entend se prévaloir d’un motif de santé pour quitter ou refuser un poste de travail doit en principe fournir un certificat médical circonstancié, reposant sur une analyse clinique et technique, indiquant précisément quelles activités sont contre-indiquées. Il lui appartient d’établir clairement, en particulier au moyen d’un certificat médical clair (« eindeutig »), que la continuation des rapports de travail était de nature à mettre sa santé en danger (ATF 124 V 234 consid. 4b/bb ; TF 8C_513/2018 du 7 novembre 2018 consid. 2.2 ; 8C_107/2018 du</w:t>
      </w:r>
    </w:p>
    <w:p>
      <w:r>
        <w:rPr>
          <w:b/>
        </w:rPr>
        <w:t>E. 7</w:t>
      </w:r>
    </w:p>
    <w:p>
      <w:r>
        <w:t>Le dossier est pour le surplus complet et permet de statuer en pleine connaissance de cause. Il n’y a donc pas lieu de compléter l’instruction, comme semble le requérir le recourant, par l’audition de témoins (dont il n’indique au demeurant pas les noms). En effet, une telle mesure d’instruction ne serait pas de nature à modifier les considérations qui précèdent, puisque les faits pertinents ont pu être constatés à satisfaction de droit (appréciation anticipée des preuves ; ATF 145 I 167 consid. 4.1 ; 144 II 427 consid. 3.1.3 ; 140 I 285 consid. 6.3.1 ; TF 8C_90/2020 du 17 novembre 2020 consid. 4.3.2 ; TF 8C_826/2019 du 13 mai 2020 consid. 5.2).</w:t>
      </w:r>
    </w:p>
    <w:p>
      <w:r>
        <w:rPr>
          <w:b/>
        </w:rPr>
        <w:t>E. 8</w:t>
      </w:r>
    </w:p>
    <w:p>
      <w:r>
        <w:t>a) Vu ce qui précède, le recours doit être rejeté et la décision sur opposition confirmée. b) Il n’y a pas lieu de percevoir de frais judiciaires (art. 61 let. fbis LPGA), ni d’allouer de dépens à la partie recourante, qui n’obtient pas gain de cause et a procédé sans mandataire qualifié (art. 61 let. g LPGA ; ATF 127 V 205 consid. 4b). Par ces motifs, la juge unique</w:t>
      </w:r>
    </w:p>
    <w:p>
      <w:r>
        <w:t>- 13 - p r o n o n c e : I. Le recours est rejeté. II. La décision sur opposition rendue le 31 octobre 2023 par la Caisse cantonale de chômage, Division juridique, est confirmée. III. Il n’est pas perçu de frais judiciaires, ni alloué de dépens. La juge unique : La greffière : Du L'arrêt qui précède est notifié à : - J.________, - Caisse cantonale de chômage, Division juridique,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