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ZQ23.044089 vom 29. Januar 2024</w:t>
      </w:r>
    </w:p>
    <w:p>
      <w:r>
        <w:t>VD Tribunal cantonal, 2024-01-29, FR</w:t>
      </w:r>
    </w:p>
    <w:p>
      <w:r>
        <w:rPr>
          <w:b/>
        </w:rPr>
        <w:t xml:space="preserve">Quelle: </w:t>
      </w:r>
      <w:r>
        <w:t>https://mcp.opencaselaw.ch/entscheid/vd_gerichte_ZQ23.044089</w:t>
      </w:r>
    </w:p>
    <w:p>
      <w:r>
        <w:t>FR: VD_GERICHTE ZQ23.044089 du 29 janvier 2024</w:t>
      </w:r>
    </w:p>
    <w:p>
      <w:r>
        <w:t>IT: VD_GERICHTE ZQ23.044089 del 29 gennaio 2024</w:t>
      </w:r>
    </w:p>
    <w:p>
      <w:pPr>
        <w:pStyle w:val="Heading2"/>
      </w:pPr>
      <w:r>
        <w:t>Erwägungen</w:t>
      </w:r>
    </w:p>
    <w:p>
      <w:r>
        <w:rPr>
          <w:b/>
        </w:rPr>
        <w:t>E. 1</w:t>
      </w:r>
    </w:p>
    <w:p>
      <w:r>
        <w:t>a) La LPGA (loi fédérale du 6 octobre 2000 sur la partie générale du droit des assurances sociales ; RS 830.1) est, sauf dérogation</w:t>
      </w:r>
    </w:p>
    <w:p>
      <w:r>
        <w:t>- 5 -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a pour objet le bien-fondé la suspension du droit du recourant à l’indemnité de chômage pour une durée de vingt-trois jours, au motif qu’il aurait résilié son contrat de travail avec E.________ SA sans s’être préalablement assuré d’avoir un autre emploi.</w:t>
      </w:r>
    </w:p>
    <w:p>
      <w:r>
        <w:rPr>
          <w:b/>
        </w:rPr>
        <w:t>E. 3</w:t>
      </w:r>
    </w:p>
    <w:p>
      <w:r>
        <w:t>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130 consid. 1 ; TF 8C_40/2016 du 21 avril 2016 consid. 2.3).</w:t>
      </w:r>
    </w:p>
    <w:p>
      <w:r>
        <w:t>- 6 - b) Aux termes de l’art. 30 al. 1 let. a LACI, le droit de l’assuré à l’indemnité est suspendu lorsqu’il est établi que celui-ci est sans travail par sa propre faute.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c)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sur l’ensemble de la question, voir BORIS RUBIN, Commentaire de la loi sur l’assurance-chômage, Genève/Zurich/Bâle 2014, n° 33 ss ad art. 30 LACI). d)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citée). Toutefois, on ne saurait en règle générale exiger de l’employé qu’il conserve son emploi lorsque les manquements d’un employeur à ses obligations contractuelles atteignent un degré de gravité justifiant une résiliation immédiate au sens de l’art. 337 du Code des obligations (CO, RS 220 ; TF 8C_285/2013 du 11 février 2014 consid. 4.1). Si l’absence de versement du salaire ou le versement partiel de celui-ci, malgré une mise</w:t>
      </w:r>
    </w:p>
    <w:p>
      <w:r>
        <w:t>- 7 - en demeure, justifie une résiliation immédiate, un simple différend salarial sans gravité ne justifie pas une telle manifestation de volonté (TF 8C_606/2010 du 20 août 2010 consid. 3.2).</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w:t>
      </w:r>
    </w:p>
    <w:p>
      <w:r>
        <w:rPr>
          <w:b/>
        </w:rPr>
        <w:t>E. 5</w:t>
      </w:r>
    </w:p>
    <w:p>
      <w:r>
        <w:t>a) En l’occurrence, il est constant que le recourant a résilié les rapports de travail qui le liaient à E.________ SA sans s’être assuré d’avoir un autre emploi, si bien que les deux premières conditions cumulatives entraînant une suspension du droit à l’indemnité de chômage au sens de l’art. 44 al. 1 let. b OACI sont réunies. Demeure litigieuse la question de savoir si A.________ peut se prévaloir de motifs qui rendaient la continuation des rapports de travail inexigibles. b) Le recourant fait valoir que l’emploi auprès d’E.________ SA n’était pas convenable en raison du paiement partiel et ponctuel du salaire, lequel contrevenait à la CCT applicable. Cependant, aucune pièce du dossier n’atteste d’une mise en demeure de l’employeur avant que le</w:t>
      </w:r>
    </w:p>
    <w:p>
      <w:r>
        <w:t>- 8 - recourant ne démissionne de son emploi. Les échanges de messages « WhatsApp » au demeurant non traduits, ne suffisent pas. L’assuré ne démontre pas qu’il y a fixé un délai à son employeur pour le versement des salaires partiellement ou pas payés. Il n’a pas non plus réclamé de sûretés avant de démissionner. En l’absence d’une mise en demeure avant la résiliation des rapports de travail, les conditions d’une résiliation du contrat de travail fondée sur les art. 337 ou 337a CO n’étaient donc pas réalisées, étant au demeurant observé que le recourant a résilié le contrat de travail en respectant le délai de congé. Ce n’est en effet que par courrier du 13 octobre 2022 que le recourant a mis en demeure son employeur de lui verser son salaire, à savoir au moment où l’intimée lui a demandé des renseignements concernant la résiliation des rapports de travail (cf. courrier de l’intimée du 5 octobre 2022). Aussi, il y a lieu de considérer que le recourant a quitté un emploi qui demeurait convenable et que la continuation des rapports de travail était exigible pendant le temps nécessaire à retrouver un nouvel emploi ou tout du moins le temps de mettre en demeure son employeur pour le salaire des mois de juin et juillet 2022, ce qu’il a du reste fait en date des 13 octobre, 1er et 15 novembre 2022, soit tardivement. c) Compte tenu de ce qui précède, force est de constater qu’il n’existait aucune circonstance sérieuse qui rendait la continuation des rapports de travail inexigible. Il s’ensuit que le recourant a quitté un emploi réputé convenable au sens de l’art. 16 LACI, sans s’être assuré d’en obtenir un autre. Il s’est ainsi retrouvé au chômage par sa propre faute, s’exposant à une sanction au sens de l’art. 30 al. 1 let. a LACI. La décision attaquée doit dès lors être confirmée sur ce point.</w:t>
      </w:r>
    </w:p>
    <w:p>
      <w:r>
        <w:rPr>
          <w:b/>
        </w:rPr>
        <w:t>E. 6</w:t>
      </w:r>
    </w:p>
    <w:p>
      <w:r>
        <w:t>La suspension étant justifiée dans son principe, il reste à en examiner la quotité. a) En vertu de l’art. 30 al. 3 LACI, la durée de la suspension est proportionnelle à la gravité de la faute. Elle est de 1 à 15 jours en cas de faute légère, de 16 à 30 jours en cas de faute de gravité moyenne et de 31 à 60 jours en cas de faute grave (art. 45 al. 3 OACI).</w:t>
      </w:r>
    </w:p>
    <w:p>
      <w:r>
        <w:t>- 9 - Lorsque l’assuré donne à son employeur un motif de résilier le contrat de travail, il y a chômage fautif au sens des art. 30 al. 1 let. a LACI et 44 al. 1 let. a OACI. Quand bien même ce motif de sanction ne figure pas dans la liste des cas de faute grave figurant à l’art. 45 al. 4 OACI, c’est le type de faute qui est généralement retenu tant par l’administration que par les tribunaux, avec pour conséquence une suspension d’une durée minimale de trente et un jours (cf. CASSO ACH 199/18 – 86/2019 du 14 mai 2019 consid. 6a ; voir également RUBIN, op. cit., n° 119 ad art. 30 LACI). Cela étant, le Tribunal fédéral a jugé que la durée de la suspension du droit à l’indemnité de chômage doit être fixée compte tenu non seulement de la faute, mais également du principe de proportionnalité et que le barème adopté par le Secrétariat d’Etat à l’économie (SECO), qui constitue un instrument précieux pour ces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particulier (ATF 130 V 125 consid. 3.5). b) En l’espèce, en retenant une faute moyenne, conformément à ce que prévoit l’art. 45 al. 3 let. b OACI, et non pas une faute grave (Bulletin LACI IC D75 1.D) sanctionnant le cas de perte de travail fautive au sens de l’art. 44 al. 1 let. a OACI, la caisse intimée a qualifié la faute de manière adéquate, eu égard aux faits que l’employeur n’a pas respecté les conditions fixées par la convention collective de travail dans le versement des salaires au recourant (versements du salaire tardif, incomplets, par acompte, sans quittance) malgré les demandes de ce dernier, que le recourant avait respecté le délai de congé et qu’il avait finalement entrepris le recouvrement des créances de salaires impayées. Partant, la suspension de 23 jours, à savoir le milieu de la fourchette prévue pour une faute moyenne (art. 45 al. 3 let. b OACI), qui a</w:t>
      </w:r>
    </w:p>
    <w:p>
      <w:r>
        <w:t>- 10 - été infligée au recourant n’apparaît pas critiquable ni excessive et respecte le principe de proportionnalité, de sorte qu’elle doit être confirmée.</w:t>
      </w:r>
    </w:p>
    <w:p>
      <w:r>
        <w:rPr>
          <w:b/>
        </w:rPr>
        <w:t>E. 7</w:t>
      </w:r>
    </w:p>
    <w:p>
      <w:r>
        <w:t>a) En conséquence, le recours, mal fondé, doit être rejeté et la décision entreprise confirmée. b) Il n’y a pas lieu de percevoir de frais judiciaires, la loi ne le prévoyant pas (art. 61 let. fbis LPGA), ni d’allouer de dépens, dès lors que le recourant n’obtient pas gain de cause (art. 61 let. g LPGA a contrario). Par ces motifs, le juge unique p r o n o n c e : I. Le recours est rejeté. II. La décision sur opposition rendue le 21 septembre 2023 par la Caisse de chômage X.________ est confirmée. III. Il n’est pas perçu de frais de justice ni alloué de dépens. Le juge unique : Le greffier :</w:t>
      </w:r>
    </w:p>
    <w:p>
      <w:r>
        <w:t>- 11 - Du L'arrêt qui précède est notifié à : - A.________ (recourant), - Caisse de chômage X.________ (intimée),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