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ZQ23.038637 vom 17. Januar 2025</w:t>
      </w:r>
    </w:p>
    <w:p>
      <w:r>
        <w:t>VD Tribunal cantonal, 2025-01-17, FR</w:t>
      </w:r>
    </w:p>
    <w:p>
      <w:r>
        <w:rPr>
          <w:b/>
        </w:rPr>
        <w:t xml:space="preserve">Quelle: </w:t>
      </w:r>
      <w:r>
        <w:t>https://mcp.opencaselaw.ch/entscheid/vd_gerichte_ZQ23.038637</w:t>
      </w:r>
    </w:p>
    <w:p>
      <w:r>
        <w:t>FR: VD_GERICHTE ZQ23.038637 du 17 janvier 2025</w:t>
      </w:r>
    </w:p>
    <w:p>
      <w:r>
        <w:t>IT: VD_GERICHTE ZQ23.038637 del 17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fédérale du 31 août 1983 sur l’assurance-chômage obligatoire et l’indemnité en cas d’insolvabilité ; RS 837.02]),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prononcer la suspension du droit à l’indemnité chômage de la recourante pour une durée de trente et un jours du fait que celle-ci se serait retrouvée sans travail par sa propre faute.</w:t>
      </w:r>
    </w:p>
    <w:p>
      <w:r>
        <w:rPr>
          <w:b/>
        </w:rPr>
        <w:t>E. 3</w:t>
      </w:r>
    </w:p>
    <w:p>
      <w:r>
        <w:t>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w:t>
      </w:r>
    </w:p>
    <w:p>
      <w:r>
        <w:t>- 10 - Commentaire de la loi sur l’assurance-chômage, Genève/Zurich/Bâle 2014, n° 4 ad art. 17 LACI). Cette obligation pour l’assuré d’entreprendre tout ce que l’on peut raisonnablement exiger de lui pour éviter ou abréger le chômage est notamment concrétisée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Aux termes de l’art. 44 al. 1 let. b OACI, est notamment réputé sans travail par sa propre faute l’assuré qui a résilié lui-même le contrat de travail, sans avoir été préalablement assuré d’obtenir un autre emploi, sauf s’il ne pouvait être exigé de lui qu’il conservât son ancien emploi. La suspension prévue par l’art. 30 al. 1 let. a LACI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w:t>
      </w:r>
    </w:p>
    <w:p>
      <w:r>
        <w:t>- 11 - quitté volontairement son emploi « sans motif légitime » (ATF 124 V 234 consid. 3b ; TFA C 302/01 du 4 février 2003 consid. 3.1 ; cf. également Rubin, op. cit., n° 32 ss ad art. 30 LACI). Selon la jurisprudence, il y a lieu d’admettre de façon restrictive les circonstances pouvant justifier l’abandon d’un emploi (ATF 124 V 234 consid. 4b ; TF 8C_225/2009 du 30 juillet 2009 consid. 5.1). L’exigibilité de la continuation des rapports de travail est examinée encore plus sévèrement que le caractère convenable d’un emploi au sens de l’art. 16 LACI (ATF 124 V 234 consid. 4b/bb). Les conditions fixées par l’art. 16 LACI ne constituent pas moins des éléments d’appréciation importants du critère d’exigibilité (TF 8C_1021/2012 du 10 mai 1012 consid. 2.2). On pense ici notamment à la situation personnelle protégée par l’art. 16 al. 2 let. c de cette disposition (âge, situation personnelle, santé), à l’inadéquation manifeste entre les exigences du poste et la formation ou l’expérience professionnelle du travailleur (al. 2 let. b et d) ou au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(Rubin, op. cit., n° 37 ad art. 30 LACI). La situation personnelle dont il est question comprend l’organisation de la vie, les conditions de vie, la situation familiale, certains choix de vie tels que la volonté d’allaiter un enfant, ainsi que divers aspects liés aux droits fondamentaux, comme par exemple la liberté religieuse. Quant aux motifs de convenance personnelle, ils ne sont pas pris en considération (Rubin, op. cit., n° 33 ad art. 16 LACI). Pour que les responsabilités familiales puissent être prises en considération au sens de l’art. 16 al. 2 let. c LACI, l’âge des enfants doit être inférieur à 15 ans (TFA C 179/04 du 21 août 2006 consid. 3.2). On précisera toutefois qu’il n’appartient pas à l’assurance-chômage de résoudre les difficultés liées à l’organisation familiale des assurés (TFA C 169/02 du 21 mars 2003 consid. 2.2). Les obligations familiales envers les enfants mineurs peuvent constituer une raison personnelle au sens de l’art. 16 al. 2 let. c LACI lorsque la garde desdits enfants par une tierce personne n’est objectivement pas possible,</w:t>
      </w:r>
    </w:p>
    <w:p>
      <w:r>
        <w:t>- 12 - ce qui ne devrait normalement pas être le cas après un congé maternité. La nécessité de vivre ensemble en famille peut être considérée comme un motif légitime de quitter son emploi avant d’en avoir trouvé un autre, mais l’assuré doit, pendant au moins un certain temps, endurer la situation en trouvant des solutions transitoires même si elles sont désagréables (TF 8C_1021/2012 du 10 mai 2013 consid. 5.4.2).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l’espèce, il n’est pas contesté que la recourante a résilié son contrat de travail auprès d’[...] Sàrl à l’issue de son congé de maternité sans s’être préalablement assurée d’avoir un emploi</w:t>
      </w:r>
    </w:p>
    <w:p>
      <w:r>
        <w:t>- 13 - subséquent. Elle s’est ainsi retrouvée sans travail de son propre fait, de sorte que la présente situation entre dans le champ d’application de l’art. 30 al. 1 let. a LACI ; les deux premières conditions cumulatives prévues par l’art. 44 al. 1 let. b OACI sont en outre remplies (cf. consid. 3b supra). Il convient dès lors d’établir s’il pouvait être exigé d’elle qu’elle conserve son emploi. b) En procédure, la recourante a exposé avoir résilié son contrat de travail dans la mesure où les horaires de travail en tant qu’[...], à savoir un départ de la maison vers 7h avec un retour le soir au plut tôt vers 20h, étaient incompatibles avec les horaires de la crèche qui fermait à 18h et à cause de l’incompatibilité de son cahier des charges avec son rôle de mère célibataire. Si la recourante a produit une attestation de son ancien employeur selon laquelle elle quittait très rarement le bureau avant 18h mais plutôt entre 18h et 21h, force est de constater que son activité se terminait en moyenne vers les 18h30/19h00 selon les enregistrements de son temps de travail du 1er juin 2021 au 18 août 2022. Il ressort également de ces enregistrements que si la recourante commençait à travailler aux environs de 8h30 lorsqu’elle a repris son activité en tant qu’[...] en juin 2021, dès le mois de mars 2022 et durant les mois précédant son incapacité de travail, son horaire de début de journée se situait plutôt aux alentours des 9h. Ces éléments sont également corroborés par le temps de travail journalier qui oscillait en principe autour des 8h30, voire 9h00 (cf. colonne « Total interm. du temps de travail »). Ainsi, il n’est pas objectivement prouvé par ces pièces que la recourante aurait été incapable d’aménager son horaire de manière plus adéquate en lien avec sa situation personnelle. On relèvera ici que l’argument de la recourante quant à une lacune d’instruction de l’intimée tombe à faux dans la mesure où elle a elle-même produit une attestation du 8 septembre 2023 de son employeur à l’appui de son recours. Quoiqu’il en soit, la recourante aurait dû, avant de démissionner, s’assurer d’un autre emploi et devait, pendant un certain</w:t>
      </w:r>
    </w:p>
    <w:p>
      <w:r>
        <w:t>- 14 - temps, endurer la situation et trouver des solutions de substitution transitoires. En effet, l’exigibilité de la continuation des rapports de travail est examinée plus sévèrement que le caractère convenable d’un emploi au sens de l’art. 16 LACI (cf. consid. 3b supra). Au regard du principe général de l’obligation de diminuer le dommage ancré à l’art. 17 al. 1 LACI, la personne assurée doit entreprendre tout ce que l’on peut raisonnablement exiger d’elle pour éviter la survenance du chômage. En l’occurrence, en ne contactant qu’une crèche proche de son domicile et en ne cherchant pas d’autres moyens de garde (par exemple maman de jour, nounou à domicile, jeune fille au pair) permettant d’aller au-delà des heures de fermeture de la crèche, force est de constater que l’assurée a quitté un emploi convenable en raison des difficultés liées à son organisation familiale. L’entretien de son fils ne nécessitait pas des mesures à ce point exceptionnelles et astreignantes qu’il ne pouvait être exigé de la recourante qu’elle continue d’exercer son travail. On relèvera par surabondance que la recourante n’est pas mère célibataire comme indiqué dans son opposition du 29 mars 2023 mais que son compagnon et père de l’enfant habite avec elle. Ainsi, elle disposait d’une possibilité de remplacement pour les jours où elle ne pouvait pas finir à 16h58. Il n’est en effet pas excessif de demander au père de l’enfant d’aménager ses horaires pendant quelques mois pour aller chercher son fils à la crèche de manière ponctuelle, surtout compte tenu du fait que ces jours se limitaient à deux jours de garderie par semaine. Une coordination entre les deux conjoints devait donc être possible pour que les horaires de garde de leur fils puissent être respectés. En outre, il ne ressort pas des allégations de la recourante que son conjoint aurait pris contact avec son employeur pour lui faire part de besoins particuliers en lien avec la garde de son enfant. Il fait peu de doute que la recourante et son conjoint auraient pris le soin d’effectuer cette démarche si l’assurance-chômage n’existait pas. Quant à l’argument de la recourante selon lequel la position de l’intimée aurait fluctué avec le temps, il n’est pas pertinent dans la mesure où la question à résoudre est de savoir si la recourante pouvait ou non trouver un moyen de s’organiser au niveau familial pour poursuivre ses anciens rapports de travail.</w:t>
      </w:r>
    </w:p>
    <w:p>
      <w:r>
        <w:t>- 15 - En définitive, il faut constater que la recourante n’a pas rendu vraisemblable que la poursuite de la relation de travail jusqu’à l’obtention d’un nouvel emploi n’était pas exigible au sens de l’assurance-chômage.</w:t>
      </w:r>
    </w:p>
    <w:p>
      <w:r>
        <w:rPr>
          <w:b/>
        </w:rPr>
        <w:t>E. 6</w:t>
      </w:r>
    </w:p>
    <w:p>
      <w:r>
        <w:t>La sanction étant justifiée dans son principe,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let. a OACI, il y a faute grave lorsque, sans motif valable, l’assuré abandonne un emploi réputé convenable sans être assuré d’obtenir un nouvel emploi. Par motif valable au sens de cette disposition, il faut entendre un motif qui fait apparaître la faute comme étant de gravité moyenne ou légère. Il peut s’agir, dans un cas concret, d’un motif lié à la situation subjective de la personne concernée ou à des circonstances objectives (ATF 130 V 125 consid. 3.3.3 ; TF 8C_650/2017 du 25 juin 2018 consid. 7.1 ; TF 8C_950/2008 consid. 2). Toutefois, l'admission de fautes moyennes ou légères doit rester l'exception (TFA C 161/06 du 6 décembre 2006 consid. 3.2 in fine). Ainsi, les motifs de s'écarter de la faute grave doivent être admis restrictivement (Rubin, op. cit., n° 117 ad art. 30 LACI). Par ailleurs,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TF 9C_377/2009 du 20 janvier 2010 consid. 4.2).</w:t>
      </w:r>
    </w:p>
    <w:p>
      <w:r>
        <w:t>- 16 - Le Secrétariat d’Etat à l’économie (SECO), en sa qualité d’autorité de surveillance,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résiliation du contrat de travail par l’assuré sans être assuré d’obtenir un nouvel emploi, le barème rappelle qu’il s’agit d’une faute grave (Bulletin LACI IC D75, ch. 1.D) et recommande, pour la détermination de la faute individuelle et de la quotité de la suspension dans le domaine de la faute grave, de partir du milieu de la fourchette de trente et un à soixante jours, soit quarante-cinq jours, puis d’appliquer les facteurs aggravants ou atténuants ainsi que le principe de la proportionnalité (Bulletin LACI IC D77). Ce mode de calcul est repris de la jurisprudence du Tribunal fédéral (ATF 123 V 150 consid. 3c ; cf. Rubin, op. cit., n. 118 ad art. 30 LACI). b) En l’espèce, la durée de la suspension a été fixée à trente et un jours, soit la durée minimale prévue par l’art. 45 al. 3 let. c OACI pour sanctionner une faute grave. L’abandon d’emploi étant constitutif d’une faute grave en vertu de l’art. 45 al. 4 let. a OACI, il apparaît ainsi que l’autorité intimée n’a pas retenu d’élément aggravant, mais qu’elle n’a pas non plus admis de circonstance susceptible de qualifier la faute de moyenne. Aucun élément du dossier ne permet de s’écarter de la faute grave, la recourante n’ayant en particulier pas soulevé d’argument susceptible de faire apparaître sa faute comme moyenne ou légère, hypothèse qui ne peut de toute manière être admise qu’exceptionnellement. A cet égard, l’intimée, en retenant le barème minimal pour faute grave (31 jours au lieu de 45 jours), a pris en considération la reprise par la recourante d’une activité professionnelle</w:t>
      </w:r>
    </w:p>
    <w:p>
      <w:r>
        <w:t>- 17 - peu de temps après son inscription au chômage comme facteurs atténuants, même si, en principe, la gravité de la faute doit être évaluée d’après les circonstances connues de l’assuré au moment où la faute a été commise. Aussi, force est d’admettre que la sanction prononcée ne paraît pas disproportionnée.</w:t>
      </w:r>
    </w:p>
    <w:p>
      <w:r>
        <w:rPr>
          <w:b/>
        </w:rPr>
        <w:t>E. 7</w:t>
      </w:r>
    </w:p>
    <w:p>
      <w:r>
        <w:t>a) En définitive, le recours doit être rejeté et la décision sur opposition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4 août 2023 par la Caisse cantonale de chômage, division juridique, est confirmée. III. Il n’est pas perçu de frais judiciaires, ni alloué de dépens. La juge unique : La greffière : Du</w:t>
      </w:r>
    </w:p>
    <w:p>
      <w:r>
        <w:t>- 18 - L'arrêt qui précède est notifié à : - Me Milena Chiari (pour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