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ZQ23.038222 vom 18. April 2024</w:t>
      </w:r>
    </w:p>
    <w:p>
      <w:r>
        <w:t>VD Tribunal cantonal, 2024-04-18, FR</w:t>
      </w:r>
    </w:p>
    <w:p>
      <w:r>
        <w:rPr>
          <w:b/>
        </w:rPr>
        <w:t xml:space="preserve">Quelle: </w:t>
      </w:r>
      <w:r>
        <w:t>https://mcp.opencaselaw.ch/entscheid/vd_gerichte_ZQ23.038222</w:t>
      </w:r>
    </w:p>
    <w:p>
      <w:r>
        <w:t>FR: VD_GERICHTE ZQ23.038222 du 18 avril 2024</w:t>
      </w:r>
    </w:p>
    <w:p>
      <w:r>
        <w:t>IT: VD_GERICHTE ZQ23.038222 del 18 aprile 2024</w:t>
      </w:r>
    </w:p>
    <w:p>
      <w:pPr>
        <w:pStyle w:val="Heading2"/>
      </w:pPr>
      <w:r>
        <w:t>Erwägungen</w:t>
      </w:r>
    </w:p>
    <w:p>
      <w:r>
        <w:rPr>
          <w:b/>
        </w:rPr>
        <w:t>E. 4</w:t>
      </w:r>
    </w:p>
    <w:p>
      <w:r>
        <w:t>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w:t>
      </w:r>
    </w:p>
    <w:p>
      <w:r>
        <w:t>- 11 - Faisant usage de cette délégation de compétence, le Conseil fédéral a édicté l’art. 41a al. 5 OACI. Selon cette disposition, le revenu provenant d'une activité indépendante est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 du revenu brut restant. Le Secrétariat d’Etat à l’économie a indiqué dans son Bulletin LACI IC que sont réputés frais de matériel et de marchandise les frais variant en fonction du revenu brut comme par exemple les achats de peinture pour un peintre ou de vêtements pour une boutique de mode. Seuls peuvent être déduits les frais de matériel et de marchandise engagés en relation à l’acquisition du revenu dans la période de contrôle ; les frais d’investissement, c’est-à-dire les achats de machines, de véhicules, de meubles et d’immeubles, ne peuvent être déduits (Bulletin LACI IC, ch. C147).</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w:t>
      </w:r>
    </w:p>
    <w:p>
      <w:r>
        <w:t>- 12 -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6</w:t>
      </w:r>
    </w:p>
    <w:p>
      <w:r>
        <w:t>En l’espèce, le recourant fait valoir en premier lieu qu’aucun gain intermédiaire ne saurait être retenu en relation avec son activité indépendante de chauffeur de taxi, dans la mesure où les résultats de celle-ci seraient déficitaires. Il allègue en particulier que l’Office d’impôt a reconnu qu’il avait éprouvé des pertes en lien avec l’exercice de cette activité. Le seul document produit par le recourant pour attester ses dires est un extrait de courrier de l’Office d’impôt des districts de [...] et de [...], qui fait état d’une perte de 7'147 fr. en lien avec une activité indépendante. Cette pièce ne contient ni le nom du recourant, ni aucune date, de sorte qu’elle ne permet pas d’établir au stade de la vraisemblance prépondérante un résultat déficitaire sur les années concernées, soit entre 2020 et 2022. On rappellera à cet égard que l’intéressé exerce cette activité indépendante depuis 2009 ; on ne peut donc pas exclure que cette pièce concerne une année précédant 2020. Du reste, le recourant prétend que ses résultats sont déficitaires puisque les seuls gains réalisés durant la période en cause ont été utilisés pour payer des factures arriérées (cf. notamment courrier du 16 août 2022 à la Caisse). Dans ses attestations de gain intermédiaire relatives aux mois de juin à décembre 2021 et février à juin 2022, le recourant a en effet indiqué avoir réalisé un revenu brut, dont il a déduit de nombreuses charges à titre de frais de matériel et de marchandise ; il a ensuite expliqué que le solde positif avait été utilisé pour le paiement de factures en souffrance (souvent des frais de téléphonie ou de leasing), de sorte qu’il ne s’était versé aucun salaire et que le gain intermédiaire à prendre en compte était nul. Cette méthode de calcul ne correspond toutefois pas à celle prévue par l’art. 41a al. 5 OACI. En particulier,</w:t>
      </w:r>
    </w:p>
    <w:p>
      <w:r>
        <w:t>- 13 - l’utilisation du solde positif par le recourant pour régler des arriérés ne permet pas de nier tout revenu puisque seuls peuvent être déduits du revenu brut les frais de matériel et de marchandise engagés en relation avec l’acquisition du revenu dans la période de contrôle (cf. consid. 4 supra). Cela signifie qu’un tel solde doit être pris en compte à titre de gain intermédiaire. Partant, le recourant ne saurait être suivi lorsqu’il explique que ses résultats étaient déficitaires et qu’il n'a pas perçu de salaire durant la période concernée.</w:t>
      </w:r>
    </w:p>
    <w:p>
      <w:r>
        <w:rPr>
          <w:b/>
        </w:rPr>
        <w:t>E. 7</w:t>
      </w:r>
    </w:p>
    <w:p>
      <w:r>
        <w:t>a) Il convient à présent d’analyser si les charges invoquées par l’intéressé peuvent être déduites du revenu brut annoncé en sus du forfait de 20 %, selon l’art. 41a al. 5 OACI. En l’occurrence, le recourant a produit de nombreux justificatifs de charges, correspondant à des frais de carburant, de repas, d’achat d’un véhicule d’occasion, de garagiste, d’assurance véhicule, d’accès à l’aéroport de Genève, d’impôt sur le véhicule et de médicaments (tests COVID-19). Il ressort toutefois de l’art. 41a al. 5 OACI que seuls les frais effectifs correspondant à l’achat de matériel ou de marchandise sont déductibles du revenu brut de l’activité indépendante. Pour les autres dépenses professionnelles (assurances, impôts, téléphones, repas, par exemple), seule une déduction forfaitaire de 20 % du revenu est admise. On relèvera tout d’abord que les frais d’achat d’un véhicule constituent des frais d’investissement ne pouvant être déduits du revenu brut (cf. consid. 4 supra). Quant aux autres justificatifs de charges fournis par le recourant, ils correspondent à des frais généraux inhérents à l’exercice régulier de l’activité pour lesquels la déduction d’un forfait de 20 % a été prévue. S’agissant en particulier des frais de carburant, on doit admettre, avec l’intimée, qu’ils ne sauraient être assimilés à des frais de matériel ou de marchandise, puisqu’ils ne varient pas exactement en fonction du revenu brut réalisé, au contraire de l’achat de peinture pour un peintre ou de vêtements pour le tenancier d’une boutique de mode.</w:t>
      </w:r>
    </w:p>
    <w:p>
      <w:r>
        <w:t>- 14 - Peu importe que le recourant ne soit pas en possession de tous les justificatifs de paiement. Un chauffeur de taxi se déplace en effet non seulement lors des courses pour ses clients, mais également entre celles- ci pour rejoindre les stations de taxi de son choix, que ce soit par exemple à l’aéroport de Genève ou aux abords des gares, ou pour rentrer chez lui, ces trajets étant indépendants des revenus perçus. A cet égard, la Chambre des assurances sociales de la Cour de justice de la République et canton de Genève est parvenue à la même conclusion s’agissant des frais d’essence d’un chauffeur dans son arrêt A/3324/2017 du 1er mars 2018. Dès lors, la règle prévue à l’art. 40a al. 5 OACI a été appliquée correctement par l’intimée. Si elle peut paraître rigide, elle reste néanmoins dans le cadre légal et n’apparaît pas disproportionnée, dans le contexte du calcul du droit à une indemnité compensatoire d’une personne exerçant provisoirement un gain intermédiaire en vue de limiter le dommage résultant du chômage. b) Le recourant soutient encore qu’une collaboratrice de la Caisse lui aurait affirmé par téléphone, puis par courrier électronique, que les frais de carburant allaient être déduits de son revenu brut après réception des quittances. Découlant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(ATF 146 I 105 consid. 5.1.1 ; 143 V 341 consid. 5.2.1 ; 131 V 472 consid. 5 et les références citées ; TF 8C_458/2021 du 25 janvier 2022 consid. 3.2, in SVR 2022 ALV n° 26 p. 92). En l’espèce, le courrier électronique du 7 novembre 2022 ne donne toutefois pas formellement d’assurance au recourant que les frais de carburant seront déduits de son revenu brut. Même à admettre que tel aurait été le cas, l’intéressé n’a quoi qu’il en soit pas pris de disposition préjudiciable ensuite de ce courrier électronique, puisque les faits en cause datent d’avant cette communication.</w:t>
      </w:r>
    </w:p>
    <w:p>
      <w:r>
        <w:t>- 15 -</w:t>
      </w:r>
    </w:p>
    <w:p>
      <w:r>
        <w:rPr>
          <w:b/>
        </w:rPr>
        <w:t>E. 8</w:t>
      </w:r>
    </w:p>
    <w:p>
      <w:r>
        <w:t>Les pièces au dossier permettent à la Cour de céans de statuer, sans qu’il apparaisse nécessaire de procéder à l'audition personnelle du recourant.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w:t>
      </w:r>
    </w:p>
    <w:p>
      <w:r>
        <w:rPr>
          <w:b/>
        </w:rPr>
        <w:t>E. 9</w:t>
      </w:r>
    </w:p>
    <w:p>
      <w:r>
        <w:t>a) En définitive, le recours, mal fondé, doit être rejeté et la décision sur opposition litigieuse confirmée. b) Il n’y a pas lieu de percevoir de frais judiciaires (art. 61 let. f bis LPGA), ni d’allouer de dépens au recourant, qui n’obtient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