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ZQ23.037812 vom 30. Oktober 2023</w:t>
      </w:r>
    </w:p>
    <w:p>
      <w:r>
        <w:t>VD Tribunal cantonal, 2023-10-30, FR</w:t>
      </w:r>
    </w:p>
    <w:p>
      <w:r>
        <w:rPr>
          <w:b/>
        </w:rPr>
        <w:t xml:space="preserve">Quelle: </w:t>
      </w:r>
      <w:r>
        <w:t>https://mcp.opencaselaw.ch/entscheid/vd_gerichte_ZQ23.037812</w:t>
      </w:r>
    </w:p>
    <w:p>
      <w:r>
        <w:t>FR: VD_GERICHTE ZQ23.037812 du 30 octobre 2023</w:t>
      </w:r>
    </w:p>
    <w:p>
      <w:r>
        <w:t>IT: VD_GERICHTE ZQ23.037812 del 30 ottobre 2023</w:t>
      </w:r>
    </w:p>
    <w:p>
      <w:pPr>
        <w:pStyle w:val="Heading2"/>
      </w:pPr>
      <w:r>
        <w:t>Erwägungen</w:t>
      </w:r>
    </w:p>
    <w:p>
      <w:r>
        <w:rPr>
          <w:b/>
        </w:rPr>
        <w:t>E. 1</w:t>
      </w:r>
    </w:p>
    <w:p>
      <w:r>
        <w:t>a) La LPGA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a) Le litige a pour objet la restitution de la somme de 24'381 fr. 55 versée à tort durant la période du 1er juillet 2021 au 31 mars 2022. b) La présente procédure n’est plus le lieu pour remettre en cause l’inaptitude au placement constatée par la Caisse intimée dans sa décision du 5 mai 2022, confirmée sur opposition le 12 juillet 2022, dès lors que cette décision, dont le recourant a pris connaissance au plus tard au mois de juin 2023, n’a pas été contestée.</w:t>
      </w:r>
    </w:p>
    <w:p>
      <w:r>
        <w:rPr>
          <w:b/>
        </w:rPr>
        <w:t>E. 3</w:t>
      </w:r>
    </w:p>
    <w:p>
      <w:r>
        <w:t>a) Selon l’art. 95 al. 1 LACI, la demande de restitution est régie par l’art. 25 LPGA, à l’exception des cas relevant des art. 55 et 59cbis al. 4 LACI, lesquels ne sont toutefois pas applicables en l’espèce.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Aux termes de l’art. 25 al. 2 LPGA, le droit de demander la restitution des prestations indûment touchées s’éteint trois ans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Selon la jurisprudence, le délai de péremption relatif de trois ans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w:t>
      </w:r>
    </w:p>
    <w:p>
      <w:r>
        <w:t>- 6 -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w:t>
      </w:r>
    </w:p>
    <w:p>
      <w:r>
        <w:rPr>
          <w:b/>
        </w:rPr>
        <w:t>E. 4</w:t>
      </w:r>
    </w:p>
    <w:p>
      <w:r>
        <w:t>a) Dans le cas d’espèce, le recourant soutient en substance que la Caisse intimée a tardé à agir et, partant, que le droit de demander la restitution était périmé au moment où la Caisse intimée lui a adressé sa demande de restitution. Cela étant, il importe peu en l’occurrence de savoir quand la Caisse intimée a pris connaissance du projet de décision de l’Office de l’assurance-invalidité pour le canton de Vaud, dès lors que la Caisse intimée a, en tout état de cause, agi dans le délai de trois ans de l’art. 25 al. 2 LPGA. Elle était dès lors légitimement fondée à réclamer au recourant la restitution de la somme, non contestée, de 24'381 fr. 55 au titre des indemnités journalières de chômage versées à tort durant la période du 1er juillet 2021 au 31 mars 2022. b) En tant que l’on peut déduire de l’argumentation du recourant qu’il entend se prévaloir du droit constitutionnel à la protection de la bonne foi, il y a lieu de souligner que le fait d’avoir dépensé des prestations pécuniaires perçues de bonne foi ne constitue pas, en soi, un acte de disposition irrévocable dont pourrait se prévaloir un assuré en invoquant le droit constitutionnel à la protection de la bonne foi (cf. TF 8C_796/2007 du 22 octobre 2008 consid. 3.1 et les références citées).</w:t>
      </w:r>
    </w:p>
    <w:p>
      <w:r>
        <w:t>- 7 - c) Cela étant, il convient d’inviter la Caisse intimée, au regard des explications fournies par le recourant dans son opposition du 22 février 2023 en lien avec les difficultés de remboursement auxquelles il pourrait être éventuellement confronté, à rendre une décision formelle sur la question de la remise.</w:t>
      </w:r>
    </w:p>
    <w:p>
      <w:r>
        <w:rPr>
          <w:b/>
        </w:rPr>
        <w:t>E. 5</w:t>
      </w:r>
    </w:p>
    <w:p>
      <w:r>
        <w:t>a) Sur le vu de ce qui précède, le recours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 Par ces motifs, le juge unique p r o n o n c e : I. Le recours est rejeté. II. La décision sur opposition rendue le 21 juillet 2023 par la Caisse cantonale de chômage est confirmée. III. Il n’est pas perçu de frais judiciaires, ni alloué de dépens. Le juge unique : Le greffier : Du L'arrêt qui précède est notifié à : - A._________, - Caisse cantonale de chômage, - Secrétariat d’Etat à l’économie (SECO),</w:t>
      </w:r>
    </w:p>
    <w:p>
      <w:r>
        <w:t>- 8 -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