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ZQ23.037171 vom 8. Januar 2024</w:t>
      </w:r>
    </w:p>
    <w:p>
      <w:r>
        <w:t>VD Tribunal cantonal, 2024-01-08, FR</w:t>
      </w:r>
    </w:p>
    <w:p>
      <w:r>
        <w:rPr>
          <w:b/>
        </w:rPr>
        <w:t xml:space="preserve">Quelle: </w:t>
      </w:r>
      <w:r>
        <w:t>https://mcp.opencaselaw.ch/entscheid/vd_gerichte_ZQ23.037171</w:t>
      </w:r>
    </w:p>
    <w:p>
      <w:r>
        <w:t>FR: VD_GERICHTE ZQ23.037171 du 8 janvier 2024</w:t>
      </w:r>
    </w:p>
    <w:p>
      <w:r>
        <w:t>IT: VD_GERICHTE ZQ23.037171 del 8 gennaio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t>- 5 -</w:t>
      </w:r>
    </w:p>
    <w:p>
      <w:r>
        <w:rPr>
          <w:b/>
        </w:rPr>
        <w:t>E. 2</w:t>
      </w:r>
    </w:p>
    <w:p>
      <w:r>
        <w:t>Le litige porte sur le point de savoir si l’intimée était fondée à prononcer une suspension du droit à l’indemnité du recourant pour une durée de neuf jours, au motif que ses recherches d’emploi durant la période précédant son chômage n’étaient pas suffisantes.</w:t>
      </w:r>
    </w:p>
    <w:p>
      <w:r>
        <w:rPr>
          <w:b/>
        </w:rPr>
        <w:t>E. 3</w:t>
      </w:r>
    </w:p>
    <w:p>
      <w:r>
        <w:t>OACI ; cf. TF 8C_800/2008 du 8 avril 2009 consid. 2.1). Il s’agit là d’une règle élémentaire de comportement, de sorte qu’un assuré doit être sanctionné même s’il n’a pas été renseigné précisément sur les conséquences de son inaction (ATF 124 V 225 consid. 5b; TF 8C_271/2008 du 25 septembre 2008 consid. 2.1). b) On ajoutera que l'on est en droit d'attendre des assurés une intensification croissante de leurs recherches à mesure que l'échéance du chômage se rapproche. L'obligation de chercher du travail subsiste même si l'assuré se trouve en pourparlers avec un employeur potentiel ; elle ne cesse que lorsque l'entrée en service auprès d'un autre employeur est certaine (TF 8C_40/2016 du 21 avril 2016 consid. 4.2 ; TF 8C_800/2008 du</w:t>
      </w:r>
    </w:p>
    <w:p>
      <w:r>
        <w:rPr>
          <w:b/>
        </w:rPr>
        <w:t>E. 8</w:t>
      </w:r>
    </w:p>
    <w:p>
      <w:r>
        <w:t>avril 2009 consid. 2.1). Précisant cette notion, le Secrétariat d’Etat à l’économie (SECO) – autorité de surveillance en matière d’exécution de la LACI et d’application uniforme du droit – a exposé qu’un demandeur d’emploi est assuré d’obtenir un emploi lorsqu’il a en main un contrat de travail signé indiquant la date d’entrée en service (Bulletin LACI IC [Indemnité de chômage], janvier 2023, ch. D23). Une vague garantie orale de la prolongation de l’emploi ne dispense pas des recherches d’emploi (TFA C 275/02 du 2 mai 2003 consid. 2.1).</w:t>
      </w:r>
    </w:p>
    <w:p>
      <w:r>
        <w:t>- 6 - c) Pour trancher le point de savoir si l'assuré a fait des efforts suffisants pour trouver un travail convenable, il faut tenir compte aussi bien de la quantité que de la qualité des démarches entreprises (ATF 124 V 225 consid. 4a). Sur le plan quantitatif, la jurisprudence considère que dix à douze recherches d'emploi par mois sont en principe suffisantes (cf. ATF 139 V 524 consid. 2.1.4 ; 124 V 225 précité consid. 6; TF 8C_463/2018 du 14 mars 2019 consid. 3).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(TF 8C_744/2019 du 26 août 2020 consid. 3.2 et les références). 4. a) En l’occurrence, force est de constater que le nombre de démarches effectuées au cours des trois mois qui ont précédé l’ouverture du délai-cadre (quatre en tout et pour tout) était manifestement insuffisant. b) Le recourant ne peut pas se prévaloir de motifs permettant de relativiser les exigences en matière de nombre de recherches d’emploi à effectuer. aa) Il convient, pour commencer, de relever que le choc subi par le recourant consécutivement à la résiliation de ses rapports de travail, s’il est compréhensible après ses nombreuses années de service au sein de la même entreprise, ne permet pas de justifier pour autant le peu de recherches d’emploi effectuées durant les trois mois de congé qui ont précédé son inscription au chômage. En effet, rien n’indique que le recourant n’était pas en mesure d’effectuer, durant la période litigieuse, davantage de recherches d’emploi – sous forme notamment spontanée – que celles dont il a fait état sur les formulaires y relatifs. Le recourant n’amène pas la preuve qu’il aurait été empêché de prendre un emploi durant cette période, ni d’arguments, pièces à l’appui, permettant l’examen d’une dispense de l’obligation de rechercher un emploi. A cela</w:t>
      </w:r>
    </w:p>
    <w:p>
      <w:r>
        <w:t>- 7 - s’ajoute que l’employeur l’avait libéré de son obligation de travailler dès le 24 février 2023. bb) Ensuite, le fait que le recourant ait contesté le bien-fondé de son licenciement auprès de son employeur ne le dispensait nullement d’effectuer des recherches d’emploi, dès lors que l’issue de ces démarches n’était pas garantie. Du reste, de l’aveu même du recourant, les démarches entreprises pour faire reconnaître le caractère prétendument abusif de son licenciement n’ont pas abouti, puisque l’employeur a, par courrier du 28 mars 2023, maintenu sa volonté de mettre un terme aux rapports de travail. cc) Pour finir, le recourant ne saurait invoquer la perspective de se faire engager par un autre employeur. Ainsi que le fait valoir l’intimée dans la décision sur opposition, le recourant ne disposait d’aucune garantie quant à un éventuel engagement, si bien qu’il devait tout entreprendre pour retrouver un nouvel emploi, tant qu’il n’avait pas l’assurance ferme d’être engagé. En l’absence d’une promesse ferme d’engagement, il incombait au recourant d’accomplir des recherches entre la date de son licenciement et la confirmation de son engagement. Si le fait de rechercher un emploi par l'intermédiaire d’un réseau de connaissances doit être encouragé, ce procédé ne saurait être assimilé à des recherches d’emploi au sens des art. 17 al. 1 LACI et 26 OACI, lesquelles impliquent une démarche concrète auprès d’un employeur potentiel selon les méthodes ordinaires de postulation (TF 8C_463/2018 du 14 mars 2019 consid. 6.2). c) Dans ces conditions, c’est à juste titre que l’intimée a considéré que le recourant n’avait pas fourni tous les efforts que l’on pouvait raisonnablement exiger de lui pour éviter le chômage au sens de l’art. 17 al. 1 LACI. Sur le principe, la suspension de son droit à l’indemnité de chômage n’est donc pas critiquable. 5. Il convient encore d’examiner la quotité de la suspension prononcée à l’égard du recourant.</w:t>
      </w:r>
    </w:p>
    <w:p>
      <w:r>
        <w:t>- 8 - a)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En tant qu’autorité de surveillance, le Secrétariat d’Etat à l’économie (SECO) a adopté un barème (indicatif) à l’intention des organes d’exécution (Bulletin LACI IC, valable dès le 1er janvier 2023, ch. D79).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8C_708/2019 du 10 janvier 2020 consid. 4 et la référence citée). b) En l'occurrence, en fixant à neuf jours la suspension du droit à l'indemnité de chômage, l’intimée a infligé la sanction minimale prévue par le barème du SECO pour les administrés ayant effectué un nombre de recherches d'emploi insuffisant pendant un délai de congé de trois mois. Or, par rapport à d'autres situations, les circonstances du cas d'espèce ne présentent pas de singularités qui justifieraient de s'en écarter, ce barème tendant précisément à garantir une égalité de traitement entre les administrés. En effet, non seulement le recourant a fait un nombre de recherches d'emploi insuffisant au cours de la période considérée dans son ensemble mais il n'a, plus particulièrement, fait aucune recherche depuis le moment où il s’est vu signifier son licenciement (le 25 janvier 2023) jusqu'au 8 mars 2023, ainsi qu'entre cette date et le 4 avril 2023. Le Tribunal fédéral a eu l'occasion de juger</w:t>
      </w:r>
    </w:p>
    <w:p>
      <w:r>
        <w:t>- 9 - que sous l'angle de l'obligation générale de diminuer le dommage ancré à l'art. 17 al. 1 LACI, le requérant de prestations avait l'obligation de postuler régulièrement à un emploi durant la période précédant son inscription à l'assurance-chômage. Ainsi, un assuré ayant fait une pause dans ses recherches d'emploi pendant plus d'un mois au cours de la période de congé devait être sanctionné quand bien même il avait fait des recherches d'emploi quantitativement et qualitativement suffisantes au cours de l'ensemble de la période précédant son chômage (cf. ATF 139 V 524 consid. 4.2). Tel n’est toutefois pas le cas en l’espèce. Partant, il convient d’admettre que, au regard des circonstances, la durée de la suspension échappe à la critique. Elle n’apparaît en outre pas disproportionnée, compte tenu de la période (en l’occurrence trois mois) pour laquelle il y a lieu de constater l’insuffisance des efforts du recourant. 6. a) En définitive, le recours, mal fondé, doit être rejeté et la décision sur opposition litigieuse confirmée. b) Il n’y a pas lieu de percevoir de frais judiciaires (art. 61 let. fbis LPGA), ni d’allouer de dépens à la partie recourante, qui n’obtient pas gain de cause et a procédé sans mandataire qualifié (art. 61 let. g LPGA ; ATF 127 V 205 consid. 4b).</w:t>
      </w:r>
    </w:p>
    <w:p>
      <w:r>
        <w:t>- 10 - Par ces motifs, le juge unique p r o n o n c e : I. Le recours est rejeté. II. La décision sur opposition rendue le 25 juillet 2023 par la Direction générale de l’emploi et du marché du travail est confirmée. III. Il n’est pas perçu de frais judiciaires, ni alloué de dépens. Le juge unique : Le greffier : Du L'arrêt qui précède est notifié à : - M. U.________, - Direction générale de l’emploi et du marché du travail, - Secrétariat d’Etat à l’économie,</w:t>
      </w:r>
    </w:p>
    <w:p>
      <w:r>
        <w:t>- 11 -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