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ZQ23.018856 vom 25. Oktober 2023</w:t>
      </w:r>
    </w:p>
    <w:p>
      <w:r>
        <w:t>VD Tribunal cantonal, 2023-10-25, FR</w:t>
      </w:r>
    </w:p>
    <w:p>
      <w:r>
        <w:rPr>
          <w:b/>
        </w:rPr>
        <w:t xml:space="preserve">Quelle: </w:t>
      </w:r>
      <w:r>
        <w:t>https://mcp.opencaselaw.ch/entscheid/vd_gerichte_ZQ23.018856</w:t>
      </w:r>
    </w:p>
    <w:p>
      <w:r>
        <w:t>FR: VD_GERICHTE ZQ23.018856 du 25 octobre 2023</w:t>
      </w:r>
    </w:p>
    <w:p>
      <w:r>
        <w:t>IT: VD_GERICHTE ZQ23.018856 del 25 ottobre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la question de l’aptitude au placement du recourant à compter du 1er février 2023, compte tenu de l’exercice d’une activité indépendante.</w:t>
      </w:r>
    </w:p>
    <w:p>
      <w:r>
        <w:t>- 5 -</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citées). Un assuré, qui, pour des motifs personnels ou familiaux, ne peut ou ne veut pas offrir à un employeur toute la disponibilité normalement exigible, ne peut être considéré comme apte à être placé (ATF 136 V 95 consid. 5.1 ; 125 V 51 consid. 6a ; 123 V 214 consid. 3 ; TF 8C_862/2015 du 26 février 2016 consid. 3.2 ; 8C_169/2014 du 2 mars 2015 consid. 3.1). b) aa)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Le fait</w:t>
      </w:r>
    </w:p>
    <w:p>
      <w:r>
        <w:t>- 6 - qu’en général l’intéressé ne réalise pas de revenu ou seulement un revenu modique en commençant une activité indépendante est typiquement un risque qui n’est pas assuré (TF 8C_853/2009 précité consid. 3.5 et les références citées). bb)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8C_282/2018 du 14 novembre 2018 consid. 4.1).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cc)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 48 ad art. 15 LACI).</w:t>
      </w:r>
    </w:p>
    <w:p>
      <w:r>
        <w:t>- 7 -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5</w:t>
      </w:r>
    </w:p>
    <w:p>
      <w:r>
        <w:t>En l’espèce, l’intimée a nié l’aptitude au placement du recourant car ce dernier exerçait une activité indépendante à caractère durable. Elle s’est essentiellement fondée sur les informations qu’il a fournies dans son courrier du 16 janvier 2023. A l’instar de l’intimée, et pour les motifs suivants, il convient de nier l’aptitude au placement du recourant. En effet, dans son courrier du 16 janvier 2023, le recourant a tout d’abord expliqué s’être inscrit au chômage afin de pouvoir vivre, payer ses charges, essayer de construire et développer une activité commerciale indépendante, respectivement afin de pouvoir bénéficier d’une formation en gestion de petites entreprises, d’un accompagnement/suivi d’une activité indépendante, d’une aide à la mise en place d’un projet professionnel ainsi que pour rechercher les</w:t>
      </w:r>
    </w:p>
    <w:p>
      <w:r>
        <w:t>- 8 - possibilités de subventions existantes. Il a également indiqué vouloir privilégier, dans la mesure du possible, le développement de son activité indépendante ainsi qu’augmenter le taux de son activité indépendante en fonction des résultats. De plus, le recourant a débuté son activité indépendante avant même qu’il demande des prestations de l’assurance- chômage et a déjà pris de nombreuses dispositions d’ordre financier, juridique, structurel et administratif en lien avec cette activité. Il a également pris un certain nombre de mesures d’ordre commercial. A cet égard, il a, avant même le début du délai-cadre d’indemnisation, contracté divers engagements envers des tiers. Il disposait ainsi d’un stock de marchandises d’une valeur de 4'500 fr. afin d’honorer d’éventuelles commandes et avait plusieurs commandes de marchandises ouvertes auprès de fournisseurs. Il a également conclu un mandat d’hébergement pour son site internet, un mandat de référencement sur [...] et disposait de quelques outils marketing, ce qui représente, selon ses dires, une dépense mensuelle d’environ 389 francs. Pour finir, il dispose, en plus de son site internet, d’une carte de visite professionnelle. L’ensemble de ces éléments démontre que le recourant n’a pas véritablement la volonté d’exercer une activité salariée durable mais qu’il désire au contraire se consacrer durablement à son activité indépendante. De plus, au vu du temps et de l’argent investis, ainsi que les dispositions prises par le recourant pour créer et développer sa société, il paraît peu probable que celui-ci soit prêt à cesser son activité au profit d’une activité dépendante. Dans son courrier du 16 janvier 2023, il indiquait au demeurant qu’il souhaitait tenter l’aventure de l’indépendance dans le domaine de la vente en ligne et que cette idée avait mûri en lui déjà depuis quelques mois. En outre, l’argument du recourant, selon lequel il exerçait déjà son activité indépendante lorsqu’il était en emploi à 100 %, censé démontrer que celle-ci est de minime importance et ainsi sa capacité à l’exercer en même temps qu’une activité salariée, tombe à faux. En effet, le recourant s’est inscrit au registre du commerce le 28 septembre 2022 dans le but d’exercer son activité indépendante. Or, le recourant explique, dans son courrier du 16 janvier 2023, que son activité n’a réellement et</w:t>
      </w:r>
    </w:p>
    <w:p>
      <w:r>
        <w:t>- 9 - timidement commencé qu’à la fin du mois de novembre 2022. Le recourant n’a donc, en réalité, exercé ses deux activités en parallèle que durant une période réduite, qui plus est durant une période où son entreprise n’était qu’à ses débuts et ne demandait, par conséquent, qu’un temps limité. D’ailleurs, compte tenu des objectifs à court, moyen et long terme que le recourant s’est fixés (notamment pérennisation du développement de son activité, investissements, gagner des parts de marché, développer la clientèle à l’ensemble de la Suisse, engager du personnel et participer à des salons dans toute la Suisse), mentionnés dans son courrier du 16 janvier 2023, il sera inévitablement contraint, pour atteindre lesdits objectifs, de consacrer de plus en plus de temps à son activité indépendante. Il y a donc lieu de craindre que le recourant ne puisse pas offrir à un (potentiel) employeur toute la disponibilité normalement exigible, ce d’autant plus qu’il a exprimé son souhait d’œuvrer pour son activité indépendante durant la journée, justifiant ce choix par le fait que les administrations et les fournisseurs de produits/services sont joignables durant la journée, les échanges en soirée étant beaucoup moins réactifs. Ainsi, c’est à juste titre que l’intimée a considéré, sous l’angle de la vraisemblance prépondérante, que le recourant n’était pas prêt à mettre un terme à son activité indépendante dans le but de suivre une mesure du marché du travail proposée par l’ORP ou de reprendre un emploi salarié, ni suffisamment disponible pour exercer un tel emploi. Le fait que le recourant a déclaré, tant dans le cadre de son opposition que dans son recours, que la recherche d’une activité salariée était pour lui une priorité absolue et que son activité indépendante pouvait être abandonnée du jour au lendemain n’y change rien, de telles déclarations, par ailleurs contradictoires avec les réponses qu’il a fournies dans son courrier du 16 janvier 2023, apparaissant davantage comme le fruit d’une réflexion consécutive à la réception de la décision litigieuse que d’une réelle volonté. De son propre aveu, le recourant comptait bien plus sur l’assurance-chômage pour subvenir à ses besoins dans l’attente du développement de son entreprise, ce qui n’est toutefois pas le but de l’assurance-chômage.</w:t>
      </w:r>
    </w:p>
    <w:p>
      <w:r>
        <w:t>- 10 - Pour le surplus, le fait que la caisse de compensation AVS n’ait pas encore reconnu son statut d’indépendant n’est pas déterminant, la caisse de chômage pouvant, dans une telle circonstance, examiner librement le statut de l’assuré (Rubin, op. cit., n° 2 ad art. 2 LACI).</w:t>
      </w:r>
    </w:p>
    <w:p>
      <w:r>
        <w:rPr>
          <w:b/>
        </w:rPr>
        <w:t>E. 6</w:t>
      </w:r>
    </w:p>
    <w:p>
      <w:r>
        <w:t>a) En définitive, il convient de rejeter le recours et de confirmer la décision sur opposition rendue le 5 avril 2023 par l’intimée.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