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ZQ23.013645 vom 5. September 2023</w:t>
      </w:r>
    </w:p>
    <w:p>
      <w:r>
        <w:t>VD Tribunal cantonal, 2023-09-05, FR</w:t>
      </w:r>
    </w:p>
    <w:p>
      <w:r>
        <w:rPr>
          <w:b/>
        </w:rPr>
        <w:t xml:space="preserve">Quelle: </w:t>
      </w:r>
      <w:r>
        <w:t>https://mcp.opencaselaw.ch/entscheid/vd_gerichte_ZQ23.013645</w:t>
      </w:r>
    </w:p>
    <w:p>
      <w:r>
        <w:t>FR: VD_GERICHTE ZQ23.013645 du 5 septembre 2023</w:t>
      </w:r>
    </w:p>
    <w:p>
      <w:r>
        <w:t>IT: VD_GERICHTE ZQ23.013645 del 5 settembre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- 4 -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Le recours a été déposé en temps utile auprès du tribunal compétent (art. 93 let. a LPA-VD [loi cantonale vaudoise du 28 octobre 2008 sur la procédure administrative ; BLV 173.36]) et respecte les autres conditions formelles prévues par la loi (art. 61 let. b LPGA notamment).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la recourante ne conteste pas le principe de la restitution des prestations de 1'284 fr. 90 indûment versées au mois de septembre 2022 mais elle en demande la remise à la caisse intimée en raison des difficultés financières qu’elle rencontrerait si elle devait procéder au remboursement de ce montant.</w:t>
      </w:r>
    </w:p>
    <w:p>
      <w:r>
        <w:rPr>
          <w:b/>
        </w:rPr>
        <w:t>E. 3</w:t>
      </w:r>
    </w:p>
    <w:p>
      <w:r>
        <w:t>a) Selon l’art. 25 al. 1, première phrase, LPGA, auquel renvoie l’art. 95 al. 1 LACI, les prestations indûment touchées doivent être restituées. A teneur de l’art. 4 OPGA (ordonnance du 11 septembre 2002</w:t>
      </w:r>
    </w:p>
    <w:p>
      <w:r>
        <w:t>- 5 -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8C_108/2021 du 9 juillet 2021 consid. 5.3 ; TF 8C_799/2017 du 11 mars 2019 consid. 6 ; TF 8C_804/2017 du 9 octobre 2018 consid. 2 et les références). b) En l’espèce, la demande de remise de l’obligation de restituer la somme de 1'284 fr. 90 formulée par la recourante sort du cadre de la décision attaquée et dépasse ainsi l’objet de la contestation. Une telle demande doit faire l’objet d’une procédure distincte de celle actuellement pendante devant la Cour de céans et ne pourra être examinée une fois que la décision de restitution attaquée sera entrée en force. Dès lors, les conclusions prises par la recourante tendant à la remise de l’obligation dans la présente procédure sont prématurées et dans la mesure où elles vont au-delà de l’objet de la contestation elles sont irrecevables. On précisera encore que, selon l'art. 4 al. 4 OPGA, la demande de remise doit être déposée au plus tard trente jours à compter de l'entrée</w:t>
      </w:r>
    </w:p>
    <w:p>
      <w:r>
        <w:t>- 6 - en force de la décision de restitution. Aussi, il appartiendra à l’intimée de statuer sur la demande de remise de la recourante dès l’entrée en force du présent arrêt. Il n’y a en effet pas lieu d’exiger de la recourante qu’elle dépose une nouvelle demande de remise, ce dont l’intimée convient au demeurant dès lors qu’elle s’engage à transmettre la demande de remise à l’autorité qu’elle estime compétente (art. 30 LPGA).</w:t>
      </w:r>
    </w:p>
    <w:p>
      <w:r>
        <w:rPr>
          <w:b/>
        </w:rPr>
        <w:t>E. 4</w:t>
      </w:r>
    </w:p>
    <w:p>
      <w:r>
        <w:t>a) En définitive, compte tenu de ce qui précède, le présent recours doit être déclaré irrecevable. b) Il n’y a pas lieu de percevoir de frais judiciaires (art. 61 let. fbis LPGA), ni d’allouer de dépens à la recourante, qui n’obtient pas gain de cause et a procédé sans mandataire qualifié (art. 61 let. g LPGA ; ATF 127 V 205 consid. 4b). Par ces motifs, la juge unique p r o n o n c e : I. Le recours est irrecevable. II. Il n'est pas perçu de frais judiciaires, ni alloué de dépens. La juge unique : Le greffier : Du</w:t>
      </w:r>
    </w:p>
    <w:p>
      <w:r>
        <w:t>- 7 - L'arrêt qui précède est notifié à : - A.__________,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