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ZQ23.006027 vom 24. Januar 2024</w:t>
      </w:r>
    </w:p>
    <w:p>
      <w:r>
        <w:t>VD Tribunal cantonal, 2024-01-24, FR</w:t>
      </w:r>
    </w:p>
    <w:p>
      <w:r>
        <w:rPr>
          <w:b/>
        </w:rPr>
        <w:t xml:space="preserve">Quelle: </w:t>
      </w:r>
      <w:r>
        <w:t>https://mcp.opencaselaw.ch/entscheid/vd_gerichte_ZQ23.006027</w:t>
      </w:r>
    </w:p>
    <w:p>
      <w:r>
        <w:t>FR: VD_GERICHTE ZQ23.006027 du 24 janvier 2024</w:t>
      </w:r>
    </w:p>
    <w:p>
      <w:r>
        <w:t>IT: VD_GERICHTE ZQ23.006027 del 24 gennaio 2024</w:t>
      </w:r>
    </w:p>
    <w:p>
      <w:pPr>
        <w:pStyle w:val="Heading2"/>
      </w:pPr>
      <w:r>
        <w:t>Erwägungen</w:t>
      </w:r>
    </w:p>
    <w:p>
      <w:r>
        <w:rPr>
          <w:b/>
        </w:rPr>
        <w:t>E. 8</w:t>
      </w:r>
    </w:p>
    <w:p>
      <w:r>
        <w:t>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https://www.L.________ SA.ch/data/dataimages/ Upload/L.________ SA_Rapport-de-gestion_2020.pdf]), celle-ci a, dans le cadre des mesures d’endiguement du coronavirus, réduit son offre conformément aux recommandations des autorités fédérales et cantonales, en adaptant l’ensemble de son offre de transports. Dès le 20 mars 2020, elle a supprimé les courses nocturnes puis, dès le 23 mars 2020, les trains ont circulé selon l’horaire du samedi, du lundi au vendredi. Dès le 6 avril 2020, elle a introduit un nouvel horaire réduit. Dès le 11 mai 2020, l’horaire du samedi a à nouveau été appliqué, avant un retour à la normale dès le 2 juin 2020 et une reprise des courses nocturnes à compter du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 même s’agissant du transport public régional de voyageurs de couvrir le déficit provoqué par cette chute de recette. Dans la mesure où l’Etat subventionne des entités privées devant effectuer une tâche publique, il doit mettre à disposition les fonds nécessaires afin d’assurer leur équilibre financier. A l’instar de l’intimé, on peut également se demander si la recourante ne dispose pas d’une garantie de déficits plus étendue (cf. art. 16 al. 2 Convention-TRV). Cette question peut néanmoins souffrir de demeurer indécise, compte tenu de ce qui suit.</w:t>
      </w:r>
    </w:p>
    <w:p>
      <w:r>
        <w:rPr>
          <w:b/>
        </w:rPr>
        <w:t>E. 9</w:t>
      </w:r>
    </w:p>
    <w:p>
      <w:r>
        <w:t>Dans le cadre de l’examen de la présente affaire, il n’y a pas lieu de tenir compte des mécanismes mis en place par la Confédération (loi fédérale du 25 septembre 2020 sur le soutien des transports publics</w:t>
      </w:r>
    </w:p>
    <w:p>
      <w:r>
        <w:t>- 7 -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w:t>
      </w:r>
    </w:p>
    <w:p>
      <w:r>
        <w:rPr>
          <w:b/>
        </w:rPr>
        <w:t>E. 10</w:t>
      </w:r>
    </w:p>
    <w:p>
      <w:r>
        <w:t>a) En vertu de l’art. 11 de la Convention-TRV,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et canton).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 d’exploitation et d’entretien des infrastructures – au moment où les restrictions d’activités seraient levées. L’existence de la recourante n’était ainsi nullement en jeu et il n’y avait pas de risque de fermeture de l’exploitation. Faute de menace sur l’emploi, la recourante ne remplissait par</w:t>
      </w:r>
    </w:p>
    <w:p>
      <w:r>
        <w:t>- 8 -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8C_328/2022), la IVe Cour de droit public du Tribunal fédéral a partiellement admis le recours interjeté par L.________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w:t>
      </w:r>
    </w:p>
    <w:p>
      <w:r>
        <w:t>- 9 - approfondie l'étendue de la couverture des frais d'exploitation par les pouvoirs publics ainsi que les possibilités concrètes de résiliation sur la base du régime applicable au personnel. D. a) Reprenant l’instruction de la cause au mois de décembre 2023, la Cour des assurances sociales du Tribunal cantonal a informé les parties qu’elle n’entendait pas procéder à un complément d’instruction et leur a imparti un délai pour déposer leurs éventuelles déterminations. b) Dans ses déterminations du 10 janvier 2024, L.________ SA a exposé, sur la base des faits du dossier, qu’elle ne disposait pas d’une garantie de déficit complet, qu’elle était exposée dès lors à un risque commercial et que les dispositions contractuelles applicables ne lui interdisaient pas de licencier ses employés. Elle a par conséquent conclu à l’admission du recours dans le sens des considérants du Tribunal fédéral. c) Dans ses déterminations du 10 janvier 2024, la DGEM a proposé une nouvelle fois le rejet du recours, soulignant que les garanties de déficit fournies par les différents commanditaires étaient suffisamment établies et permettaient de couvrir le déficit total pour le transport régional de voyageurs, si bien que l’existence de l’entreprise n’était pas menacée par un risque de faillite ou un risque de fermeture d’exploitation.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w:t>
      </w:r>
    </w:p>
    <w:p>
      <w:r>
        <w:t>- 10 -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dès le 1er avril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w:t>
      </w:r>
    </w:p>
    <w:p>
      <w:r>
        <w:t>- 11 -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w:t>
      </w:r>
    </w:p>
    <w:p>
      <w:r>
        <w:t>- 12 -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w:t>
      </w:r>
    </w:p>
    <w:p>
      <w:r>
        <w:t>- 13 -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 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w:t>
      </w:r>
    </w:p>
    <w:p>
      <w:r>
        <w:t>- 14 -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w:t>
      </w:r>
    </w:p>
    <w:p>
      <w:r>
        <w:rPr>
          <w:b/>
        </w:rPr>
        <w:t>E. 12</w:t>
      </w:r>
    </w:p>
    <w:p>
      <w:r>
        <w:t>a) En définitive, le recours doit être admis et la décision sur opposition litigieuse réformée, en ce sens que la recourante peut prétendre à l’indemnité en cas de réduction de l’horaire de travail dès le 1er avril 2020.</w:t>
      </w:r>
    </w:p>
    <w:p>
      <w:r>
        <w:t>- 20 - b) Il n’y a pas lieu de percevoir de frais judiciaires, la loi spéciale ne le prévoyant pas (art. 61 let. fbis LPGA).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